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395612" w:rsidTr="00395612">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395612">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395612">
                    <w:trPr>
                      <w:tblCellSpacing w:w="0" w:type="dxa"/>
                      <w:jc w:val="center"/>
                    </w:trPr>
                    <w:tc>
                      <w:tcPr>
                        <w:tcW w:w="5000" w:type="pct"/>
                        <w:vAlign w:val="center"/>
                        <w:hideMark/>
                      </w:tcPr>
                      <w:p w:rsidR="00395612" w:rsidRDefault="00395612">
                        <w:pPr>
                          <w:jc w:val="center"/>
                          <w:rPr>
                            <w:rFonts w:eastAsia="Times New Roman"/>
                          </w:rPr>
                        </w:pPr>
                        <w:r>
                          <w:rPr>
                            <w:rFonts w:eastAsia="Times New Roman"/>
                          </w:rPr>
                          <w:fldChar w:fldCharType="begin"/>
                        </w:r>
                        <w:r>
                          <w:rPr>
                            <w:rFonts w:eastAsia="Times New Roman"/>
                          </w:rPr>
                          <w:instrText xml:space="preserve"> HYPERLINK "https://sbv-fsa.ch/fr/newsletter/newsletter-fsa-mars-2022"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395612">
                    <w:trPr>
                      <w:tblCellSpacing w:w="0" w:type="dxa"/>
                      <w:jc w:val="center"/>
                    </w:trPr>
                    <w:tc>
                      <w:tcPr>
                        <w:tcW w:w="0" w:type="auto"/>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395612">
                          <w:trPr>
                            <w:tblCellSpacing w:w="0" w:type="dxa"/>
                          </w:trPr>
                          <w:tc>
                            <w:tcPr>
                              <w:tcW w:w="5000" w:type="pct"/>
                              <w:vAlign w:val="center"/>
                              <w:hideMark/>
                            </w:tcPr>
                            <w:p w:rsidR="00395612" w:rsidRDefault="00395612">
                              <w:pPr>
                                <w:rPr>
                                  <w:rFonts w:eastAsia="Times New Roman"/>
                                </w:rPr>
                              </w:pPr>
                              <w:r>
                                <w:rPr>
                                  <w:rFonts w:eastAsia="Times New Roman"/>
                                  <w:noProof/>
                                  <w:color w:val="0000FF"/>
                                </w:rPr>
                                <w:drawing>
                                  <wp:inline distT="0" distB="0" distL="0" distR="0">
                                    <wp:extent cx="8211820" cy="4906010"/>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8211820" cy="4906010"/>
                                            </a:xfrm>
                                            <a:prstGeom prst="rect">
                                              <a:avLst/>
                                            </a:prstGeom>
                                            <a:noFill/>
                                            <a:ln w="9525">
                                              <a:noFill/>
                                              <a:miter lim="800000"/>
                                              <a:headEnd/>
                                              <a:tailEnd/>
                                            </a:ln>
                                          </pic:spPr>
                                        </pic:pic>
                                      </a:graphicData>
                                    </a:graphic>
                                  </wp:inline>
                                </w:drawing>
                              </w:r>
                            </w:p>
                          </w:tc>
                        </w:tr>
                      </w:tbl>
                      <w:p w:rsidR="00395612" w:rsidRDefault="00395612">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395612">
                          <w:trPr>
                            <w:trHeight w:val="240"/>
                            <w:tblCellSpacing w:w="0" w:type="dxa"/>
                          </w:trPr>
                          <w:tc>
                            <w:tcPr>
                              <w:tcW w:w="5000" w:type="pct"/>
                              <w:vAlign w:val="center"/>
                              <w:hideMark/>
                            </w:tcPr>
                            <w:p w:rsidR="00395612" w:rsidRDefault="00395612">
                              <w:pPr>
                                <w:rPr>
                                  <w:rFonts w:eastAsia="Times New Roman"/>
                                </w:rPr>
                              </w:pPr>
                              <w:r>
                                <w:rPr>
                                  <w:rFonts w:eastAsia="Times New Roman"/>
                                </w:rPr>
                                <w:t> </w:t>
                              </w:r>
                            </w:p>
                          </w:tc>
                        </w:tr>
                      </w:tbl>
                      <w:p w:rsidR="00395612" w:rsidRDefault="00395612">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395612">
                          <w:trPr>
                            <w:tblCellSpacing w:w="0" w:type="dxa"/>
                          </w:trPr>
                          <w:tc>
                            <w:tcPr>
                              <w:tcW w:w="5000" w:type="pct"/>
                              <w:vAlign w:val="center"/>
                              <w:hideMark/>
                            </w:tcPr>
                            <w:p w:rsidR="00395612" w:rsidRDefault="00395612">
                              <w:pPr>
                                <w:pStyle w:val="Titre1"/>
                                <w:jc w:val="center"/>
                                <w:rPr>
                                  <w:rFonts w:eastAsia="Times New Roman"/>
                                  <w:color w:val="0018A8"/>
                                  <w:sz w:val="51"/>
                                  <w:szCs w:val="51"/>
                                </w:rPr>
                              </w:pPr>
                              <w:r>
                                <w:rPr>
                                  <w:rFonts w:eastAsia="Times New Roman"/>
                                  <w:color w:val="0018A8"/>
                                  <w:sz w:val="51"/>
                                  <w:szCs w:val="51"/>
                                </w:rPr>
                                <w:t>Newsletter</w:t>
                              </w:r>
                            </w:p>
                          </w:tc>
                        </w:tr>
                      </w:tbl>
                      <w:p w:rsidR="00395612" w:rsidRDefault="00395612">
                        <w:pPr>
                          <w:rPr>
                            <w:rFonts w:eastAsia="Times New Roman"/>
                            <w:sz w:val="20"/>
                            <w:szCs w:val="20"/>
                          </w:rPr>
                        </w:pPr>
                      </w:p>
                    </w:tc>
                  </w:tr>
                </w:tbl>
                <w:p w:rsidR="00395612" w:rsidRDefault="00395612">
                  <w:pPr>
                    <w:rPr>
                      <w:rFonts w:eastAsia="Times New Roman"/>
                    </w:rPr>
                  </w:pPr>
                  <w:r>
                    <w:rPr>
                      <w:rFonts w:eastAsia="Times New Roman"/>
                    </w:rPr>
                    <w:t xml:space="preserve">Bonjour, Katia Gille </w:t>
                  </w:r>
                </w:p>
                <w:p w:rsidR="00395612" w:rsidRDefault="00395612">
                  <w:pPr>
                    <w:pStyle w:val="NormalWeb"/>
                  </w:pPr>
                  <w:r>
                    <w:t xml:space="preserve">Nous avons encore un long chemin à parcourir pour obtenir l’égalité pleine et entière des personnes en situation de handicap. C’est pourquoi nous avons manifesté le 9 mars à Berne et que nous allons adresser une pétition au Conseil fédéral demandant que la Suisse ratifie enfin le Protocole facultatif à la </w:t>
                  </w:r>
                  <w:proofErr w:type="spellStart"/>
                  <w:r>
                    <w:t>CDPH</w:t>
                  </w:r>
                  <w:proofErr w:type="spellEnd"/>
                  <w:r>
                    <w:t xml:space="preserve">. En dépit des nombreux obstacles auxquels nous continuons à nous heurter dans la mise en œuvre de la </w:t>
                  </w:r>
                  <w:proofErr w:type="spellStart"/>
                  <w:r>
                    <w:t>CDPH</w:t>
                  </w:r>
                  <w:proofErr w:type="spellEnd"/>
                  <w:r>
                    <w:t xml:space="preserve">, nous avons aussi de quoi fêter quelques avancées et célébrer des anniversaires qui resteront gravés dans nos mémoires. Ainsi, dans son arrêt </w:t>
                  </w:r>
                  <w:proofErr w:type="spellStart"/>
                  <w:r>
                    <w:t>Dosto</w:t>
                  </w:r>
                  <w:proofErr w:type="spellEnd"/>
                  <w:r>
                    <w:t>, le Tribunal fédéral a reconnu le droit à la mobilité autonome aux personnes en situation de handicap. Cet arrêt marque un tournant majeur dans la jurisprudence vers une meilleure reconnaissance des droits des personnes handicapées. Autre (petite) contribution à l’autonomie, celle des compagnies ferroviaires qui acceptent désormais le chargement de tandems par les voyageurs handicapés de la vue. L’année 2022 marque non seulement le 111</w:t>
                  </w:r>
                  <w:r>
                    <w:rPr>
                      <w:vertAlign w:val="superscript"/>
                    </w:rPr>
                    <w:t>e</w:t>
                  </w:r>
                  <w:r>
                    <w:t xml:space="preserve"> anniversaire de la FSA, mais aussi les 10 ans d’existence de l’Ecole de la pomme. Et enfin, nous vous présentons dans cette newsletter un projet inédit et passionnant, auquel vous pouvez participer.</w:t>
                  </w:r>
                </w:p>
                <w:p w:rsidR="00395612" w:rsidRDefault="00395612">
                  <w:pPr>
                    <w:pStyle w:val="NormalWeb"/>
                  </w:pPr>
                  <w:r>
                    <w:lastRenderedPageBreak/>
                    <w:t>Nous vous souhaitons bonne lecture, en espérant que vous ferez le plein d’informations utiles.</w:t>
                  </w:r>
                </w:p>
                <w:p w:rsidR="00395612" w:rsidRDefault="00395612">
                  <w:pPr>
                    <w:pStyle w:val="NormalWeb"/>
                  </w:pPr>
                  <w:r>
                    <w:t>Cordialement</w:t>
                  </w:r>
                  <w:r>
                    <w:br/>
                    <w:t>L’équipe de rédaction</w:t>
                  </w:r>
                </w:p>
                <w:tbl>
                  <w:tblPr>
                    <w:tblW w:w="9000" w:type="dxa"/>
                    <w:jc w:val="center"/>
                    <w:tblCellSpacing w:w="0" w:type="dxa"/>
                    <w:tblCellMar>
                      <w:left w:w="0" w:type="dxa"/>
                      <w:right w:w="0" w:type="dxa"/>
                    </w:tblCellMar>
                    <w:tblLook w:val="04A0"/>
                  </w:tblPr>
                  <w:tblGrid>
                    <w:gridCol w:w="9000"/>
                  </w:tblGrid>
                  <w:tr w:rsidR="00395612">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395612">
                          <w:trPr>
                            <w:tblCellSpacing w:w="0" w:type="dxa"/>
                          </w:trPr>
                          <w:tc>
                            <w:tcPr>
                              <w:tcW w:w="0" w:type="auto"/>
                              <w:shd w:val="clear" w:color="auto" w:fill="0018A8"/>
                              <w:tcMar>
                                <w:top w:w="0" w:type="dxa"/>
                                <w:left w:w="225" w:type="dxa"/>
                                <w:bottom w:w="0" w:type="dxa"/>
                                <w:right w:w="225" w:type="dxa"/>
                              </w:tcMar>
                              <w:vAlign w:val="center"/>
                              <w:hideMark/>
                            </w:tcPr>
                            <w:p w:rsidR="00395612" w:rsidRDefault="00395612">
                              <w:pPr>
                                <w:pStyle w:val="Titre2"/>
                                <w:rPr>
                                  <w:rFonts w:eastAsia="Times New Roman"/>
                                  <w:color w:val="FFFFFF"/>
                                </w:rPr>
                              </w:pPr>
                              <w:r>
                                <w:rPr>
                                  <w:rFonts w:eastAsia="Times New Roman"/>
                                  <w:color w:val="FFFFFF"/>
                                </w:rPr>
                                <w:t>L’application «</w:t>
                              </w:r>
                              <w:proofErr w:type="spellStart"/>
                              <w:r>
                                <w:rPr>
                                  <w:rFonts w:eastAsia="Times New Roman"/>
                                  <w:color w:val="FFFFFF"/>
                                </w:rPr>
                                <w:t>Intros</w:t>
                              </w:r>
                              <w:proofErr w:type="spellEnd"/>
                              <w:r>
                                <w:rPr>
                                  <w:rFonts w:eastAsia="Times New Roman"/>
                                  <w:color w:val="FFFFFF"/>
                                </w:rPr>
                                <w:t xml:space="preserve">» franchit un cap important </w:t>
                              </w:r>
                            </w:p>
                          </w:tc>
                        </w:tr>
                      </w:tbl>
                      <w:p w:rsidR="00395612" w:rsidRDefault="00395612">
                        <w:pPr>
                          <w:rPr>
                            <w:rFonts w:eastAsia="Times New Roman"/>
                            <w:sz w:val="20"/>
                            <w:szCs w:val="20"/>
                          </w:rPr>
                        </w:pPr>
                      </w:p>
                    </w:tc>
                  </w:tr>
                  <w:tr w:rsidR="00395612">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395612">
                          <w:tc>
                            <w:tcPr>
                              <w:tcW w:w="5000" w:type="pct"/>
                              <w:hideMark/>
                            </w:tcPr>
                            <w:p w:rsidR="00395612" w:rsidRDefault="00395612">
                              <w:pPr>
                                <w:rPr>
                                  <w:rFonts w:eastAsia="Times New Roman"/>
                                </w:rPr>
                              </w:pPr>
                              <w:r>
                                <w:rPr>
                                  <w:rFonts w:eastAsia="Times New Roman"/>
                                </w:rPr>
                                <w:t>Tout vient à point à qui sait attendre! C’est avec cet adage que l’on pourrait résumer le développement de notre application «</w:t>
                              </w:r>
                              <w:proofErr w:type="spellStart"/>
                              <w:r>
                                <w:rPr>
                                  <w:rFonts w:eastAsia="Times New Roman"/>
                                </w:rPr>
                                <w:t>Intros</w:t>
                              </w:r>
                              <w:proofErr w:type="spellEnd"/>
                              <w:r>
                                <w:rPr>
                                  <w:rFonts w:eastAsia="Times New Roman"/>
                                </w:rPr>
                                <w:t xml:space="preserve">» ces dernières années. En 2023, l’entreprise ferroviaire </w:t>
                              </w:r>
                              <w:proofErr w:type="spellStart"/>
                              <w:r>
                                <w:rPr>
                                  <w:rFonts w:eastAsia="Times New Roman"/>
                                </w:rPr>
                                <w:t>Saarbahn</w:t>
                              </w:r>
                              <w:proofErr w:type="spellEnd"/>
                              <w:r>
                                <w:rPr>
                                  <w:rFonts w:eastAsia="Times New Roman"/>
                                </w:rPr>
                                <w:t xml:space="preserve"> </w:t>
                              </w:r>
                              <w:proofErr w:type="spellStart"/>
                              <w:r>
                                <w:rPr>
                                  <w:rFonts w:eastAsia="Times New Roman"/>
                                </w:rPr>
                                <w:t>Sàrl</w:t>
                              </w:r>
                              <w:proofErr w:type="spellEnd"/>
                              <w:r>
                                <w:rPr>
                                  <w:rFonts w:eastAsia="Times New Roman"/>
                                </w:rPr>
                                <w:t xml:space="preserve"> à Sarrebruck va introduire cette solution novatrice sur l’ensemble de son réseau.</w:t>
                              </w:r>
                            </w:p>
                            <w:p w:rsidR="00395612" w:rsidRDefault="00395612">
                              <w:pPr>
                                <w:numPr>
                                  <w:ilvl w:val="0"/>
                                  <w:numId w:val="1"/>
                                </w:numPr>
                                <w:spacing w:before="100" w:beforeAutospacing="1" w:after="100" w:afterAutospacing="1"/>
                                <w:rPr>
                                  <w:rFonts w:eastAsia="Times New Roman"/>
                                </w:rPr>
                              </w:pPr>
                              <w:hyperlink r:id="rId7" w:tooltip="L’application «Intros» franchit un cap important" w:history="1">
                                <w:r>
                                  <w:rPr>
                                    <w:rStyle w:val="Lienhypertexte"/>
                                    <w:rFonts w:eastAsia="Times New Roman"/>
                                  </w:rPr>
                                  <w:t>En savoir plus</w:t>
                                </w:r>
                                <w:r>
                                  <w:rPr>
                                    <w:rStyle w:val="visually-hidden"/>
                                    <w:rFonts w:eastAsia="Times New Roman"/>
                                    <w:color w:val="0000FF"/>
                                  </w:rPr>
                                  <w:t xml:space="preserve"> sur L’application «</w:t>
                                </w:r>
                                <w:proofErr w:type="spellStart"/>
                                <w:r>
                                  <w:rPr>
                                    <w:rStyle w:val="visually-hidden"/>
                                    <w:rFonts w:eastAsia="Times New Roman"/>
                                    <w:color w:val="0000FF"/>
                                  </w:rPr>
                                  <w:t>Intros</w:t>
                                </w:r>
                                <w:proofErr w:type="spellEnd"/>
                                <w:r>
                                  <w:rPr>
                                    <w:rStyle w:val="visually-hidden"/>
                                    <w:rFonts w:eastAsia="Times New Roman"/>
                                    <w:color w:val="0000FF"/>
                                  </w:rPr>
                                  <w:t>» franchit un cap important</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395612">
                          <w:trPr>
                            <w:trHeight w:val="240"/>
                            <w:tblCellSpacing w:w="0" w:type="dxa"/>
                          </w:trPr>
                          <w:tc>
                            <w:tcPr>
                              <w:tcW w:w="5000" w:type="pct"/>
                              <w:vAlign w:val="center"/>
                              <w:hideMark/>
                            </w:tcPr>
                            <w:p w:rsidR="00395612" w:rsidRDefault="00395612">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395612">
                          <w:tc>
                            <w:tcPr>
                              <w:tcW w:w="5000" w:type="pct"/>
                              <w:vAlign w:val="center"/>
                              <w:hideMark/>
                            </w:tcPr>
                            <w:p w:rsidR="00395612" w:rsidRDefault="00395612">
                              <w:pPr>
                                <w:rPr>
                                  <w:rFonts w:eastAsia="Times New Roman"/>
                                </w:rPr>
                              </w:pPr>
                              <w:r>
                                <w:rPr>
                                  <w:rFonts w:eastAsia="Times New Roman"/>
                                  <w:noProof/>
                                  <w:color w:val="0000FF"/>
                                </w:rPr>
                                <w:drawing>
                                  <wp:inline distT="0" distB="0" distL="0" distR="0">
                                    <wp:extent cx="2192020" cy="1230630"/>
                                    <wp:effectExtent l="19050" t="0" r="0" b="0"/>
                                    <wp:docPr id="2" name="Image 2" descr="App Icon Intr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 Icon Intros"/>
                                            <pic:cNvPicPr>
                                              <a:picLocks noChangeAspect="1" noChangeArrowheads="1"/>
                                            </pic:cNvPicPr>
                                          </pic:nvPicPr>
                                          <pic:blipFill>
                                            <a:blip r:embed="rId8"/>
                                            <a:srcRect/>
                                            <a:stretch>
                                              <a:fillRect/>
                                            </a:stretch>
                                          </pic:blipFill>
                                          <pic:spPr bwMode="auto">
                                            <a:xfrm>
                                              <a:off x="0" y="0"/>
                                              <a:ext cx="2192020" cy="1230630"/>
                                            </a:xfrm>
                                            <a:prstGeom prst="rect">
                                              <a:avLst/>
                                            </a:prstGeom>
                                            <a:noFill/>
                                            <a:ln w="9525">
                                              <a:noFill/>
                                              <a:miter lim="800000"/>
                                              <a:headEnd/>
                                              <a:tailEnd/>
                                            </a:ln>
                                          </pic:spPr>
                                        </pic:pic>
                                      </a:graphicData>
                                    </a:graphic>
                                  </wp:inline>
                                </w:drawing>
                              </w:r>
                            </w:p>
                          </w:tc>
                        </w:tr>
                      </w:tbl>
                      <w:p w:rsidR="00395612" w:rsidRDefault="00395612">
                        <w:pPr>
                          <w:rPr>
                            <w:rFonts w:eastAsia="Times New Roman"/>
                            <w:sz w:val="20"/>
                            <w:szCs w:val="20"/>
                          </w:rPr>
                        </w:pPr>
                      </w:p>
                    </w:tc>
                  </w:tr>
                </w:tbl>
                <w:p w:rsidR="00395612" w:rsidRDefault="00395612">
                  <w:pPr>
                    <w:rPr>
                      <w:rFonts w:eastAsia="Times New Roman"/>
                      <w:vanish/>
                    </w:rPr>
                  </w:pPr>
                </w:p>
                <w:tbl>
                  <w:tblPr>
                    <w:tblW w:w="9000" w:type="dxa"/>
                    <w:jc w:val="center"/>
                    <w:tblCellSpacing w:w="0" w:type="dxa"/>
                    <w:tblCellMar>
                      <w:left w:w="0" w:type="dxa"/>
                      <w:right w:w="0" w:type="dxa"/>
                    </w:tblCellMar>
                    <w:tblLook w:val="04A0"/>
                  </w:tblPr>
                  <w:tblGrid>
                    <w:gridCol w:w="9000"/>
                  </w:tblGrid>
                  <w:tr w:rsidR="00395612">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395612">
                          <w:trPr>
                            <w:tblCellSpacing w:w="0" w:type="dxa"/>
                          </w:trPr>
                          <w:tc>
                            <w:tcPr>
                              <w:tcW w:w="0" w:type="auto"/>
                              <w:shd w:val="clear" w:color="auto" w:fill="0018A8"/>
                              <w:tcMar>
                                <w:top w:w="0" w:type="dxa"/>
                                <w:left w:w="225" w:type="dxa"/>
                                <w:bottom w:w="0" w:type="dxa"/>
                                <w:right w:w="225" w:type="dxa"/>
                              </w:tcMar>
                              <w:vAlign w:val="center"/>
                              <w:hideMark/>
                            </w:tcPr>
                            <w:p w:rsidR="00395612" w:rsidRDefault="00395612">
                              <w:pPr>
                                <w:pStyle w:val="Titre2"/>
                                <w:rPr>
                                  <w:rFonts w:eastAsia="Times New Roman"/>
                                  <w:color w:val="FFFFFF"/>
                                </w:rPr>
                              </w:pPr>
                              <w:r>
                                <w:rPr>
                                  <w:rFonts w:eastAsia="Times New Roman"/>
                                  <w:color w:val="FFFFFF"/>
                                </w:rPr>
                                <w:t xml:space="preserve">Participation, libre choix et inclusion. MAINTENANT! Action réveil du 9 mars et pétition au Conseil fédéral </w:t>
                              </w:r>
                            </w:p>
                          </w:tc>
                        </w:tr>
                      </w:tbl>
                      <w:p w:rsidR="00395612" w:rsidRDefault="00395612">
                        <w:pPr>
                          <w:rPr>
                            <w:rFonts w:eastAsia="Times New Roman"/>
                            <w:sz w:val="20"/>
                            <w:szCs w:val="20"/>
                          </w:rPr>
                        </w:pPr>
                      </w:p>
                    </w:tc>
                  </w:tr>
                  <w:tr w:rsidR="00395612">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395612">
                          <w:tc>
                            <w:tcPr>
                              <w:tcW w:w="5000" w:type="pct"/>
                              <w:hideMark/>
                            </w:tcPr>
                            <w:p w:rsidR="00395612" w:rsidRDefault="00395612">
                              <w:pPr>
                                <w:rPr>
                                  <w:rFonts w:eastAsia="Times New Roman"/>
                                </w:rPr>
                              </w:pPr>
                              <w:r>
                                <w:rPr>
                                  <w:rFonts w:eastAsia="Times New Roman"/>
                                </w:rPr>
                                <w:t xml:space="preserve">Le 9 mars, plusieurs centaines de personnes concernées et leurs accompagnants se sont </w:t>
                              </w:r>
                              <w:proofErr w:type="gramStart"/>
                              <w:r>
                                <w:rPr>
                                  <w:rFonts w:eastAsia="Times New Roman"/>
                                </w:rPr>
                                <w:t>retrouvées</w:t>
                              </w:r>
                              <w:proofErr w:type="gramEnd"/>
                              <w:r>
                                <w:rPr>
                                  <w:rFonts w:eastAsia="Times New Roman"/>
                                </w:rPr>
                                <w:t xml:space="preserve"> à Berne pour lancer un appel au réveil, demandant instamment l’égalité pour les personnes en situation de handicap visuel. Il est grand temps que la Suisse sorte de sa torpeur! Et nous adressons une pétition au Conseil fédéral, demandant que la Suisse ratifie enfin le Protocole facultatif.</w:t>
                              </w:r>
                            </w:p>
                            <w:p w:rsidR="00395612" w:rsidRDefault="00395612">
                              <w:pPr>
                                <w:numPr>
                                  <w:ilvl w:val="0"/>
                                  <w:numId w:val="2"/>
                                </w:numPr>
                                <w:spacing w:before="100" w:beforeAutospacing="1" w:after="100" w:afterAutospacing="1"/>
                                <w:rPr>
                                  <w:rFonts w:eastAsia="Times New Roman"/>
                                </w:rPr>
                              </w:pPr>
                              <w:hyperlink r:id="rId9" w:tooltip="Participation, libre choix et inclusion. MAINTENANT! Action réveil du 9 mars et pétition au Conseil fédéral " w:history="1">
                                <w:r>
                                  <w:rPr>
                                    <w:rStyle w:val="Lienhypertexte"/>
                                    <w:rFonts w:eastAsia="Times New Roman"/>
                                  </w:rPr>
                                  <w:t>En savoir plus</w:t>
                                </w:r>
                                <w:r>
                                  <w:rPr>
                                    <w:rStyle w:val="visually-hidden"/>
                                    <w:rFonts w:eastAsia="Times New Roman"/>
                                    <w:color w:val="0000FF"/>
                                  </w:rPr>
                                  <w:t xml:space="preserve"> sur Participation, libre choix et inclusion. MAINTENANT! Action réveil du 9 mars et pétition au Conseil fédéral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395612">
                          <w:trPr>
                            <w:trHeight w:val="240"/>
                            <w:tblCellSpacing w:w="0" w:type="dxa"/>
                          </w:trPr>
                          <w:tc>
                            <w:tcPr>
                              <w:tcW w:w="5000" w:type="pct"/>
                              <w:vAlign w:val="center"/>
                              <w:hideMark/>
                            </w:tcPr>
                            <w:p w:rsidR="00395612" w:rsidRDefault="00395612">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395612">
                          <w:tc>
                            <w:tcPr>
                              <w:tcW w:w="5000" w:type="pct"/>
                              <w:vAlign w:val="center"/>
                              <w:hideMark/>
                            </w:tcPr>
                            <w:p w:rsidR="00395612" w:rsidRDefault="00395612">
                              <w:pPr>
                                <w:rPr>
                                  <w:rFonts w:eastAsia="Times New Roman"/>
                                </w:rPr>
                              </w:pPr>
                              <w:r>
                                <w:rPr>
                                  <w:rFonts w:eastAsia="Times New Roman"/>
                                  <w:noProof/>
                                  <w:color w:val="0000FF"/>
                                </w:rPr>
                                <w:drawing>
                                  <wp:inline distT="0" distB="0" distL="0" distR="0">
                                    <wp:extent cx="2192020" cy="1049020"/>
                                    <wp:effectExtent l="19050" t="0" r="0" b="0"/>
                                    <wp:docPr id="3" name="Image 3" descr="Ensemble tout droi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semble tout droit Logo"/>
                                            <pic:cNvPicPr>
                                              <a:picLocks noChangeAspect="1" noChangeArrowheads="1"/>
                                            </pic:cNvPicPr>
                                          </pic:nvPicPr>
                                          <pic:blipFill>
                                            <a:blip r:embed="rId10"/>
                                            <a:srcRect/>
                                            <a:stretch>
                                              <a:fillRect/>
                                            </a:stretch>
                                          </pic:blipFill>
                                          <pic:spPr bwMode="auto">
                                            <a:xfrm>
                                              <a:off x="0" y="0"/>
                                              <a:ext cx="2192020" cy="1049020"/>
                                            </a:xfrm>
                                            <a:prstGeom prst="rect">
                                              <a:avLst/>
                                            </a:prstGeom>
                                            <a:noFill/>
                                            <a:ln w="9525">
                                              <a:noFill/>
                                              <a:miter lim="800000"/>
                                              <a:headEnd/>
                                              <a:tailEnd/>
                                            </a:ln>
                                          </pic:spPr>
                                        </pic:pic>
                                      </a:graphicData>
                                    </a:graphic>
                                  </wp:inline>
                                </w:drawing>
                              </w:r>
                            </w:p>
                          </w:tc>
                        </w:tr>
                      </w:tbl>
                      <w:p w:rsidR="00395612" w:rsidRDefault="00395612">
                        <w:pPr>
                          <w:rPr>
                            <w:rFonts w:eastAsia="Times New Roman"/>
                            <w:sz w:val="20"/>
                            <w:szCs w:val="20"/>
                          </w:rPr>
                        </w:pPr>
                      </w:p>
                    </w:tc>
                  </w:tr>
                </w:tbl>
                <w:p w:rsidR="00395612" w:rsidRDefault="00395612">
                  <w:pPr>
                    <w:rPr>
                      <w:rFonts w:eastAsia="Times New Roman"/>
                      <w:vanish/>
                    </w:rPr>
                  </w:pPr>
                </w:p>
                <w:tbl>
                  <w:tblPr>
                    <w:tblW w:w="9000" w:type="dxa"/>
                    <w:jc w:val="center"/>
                    <w:tblCellSpacing w:w="0" w:type="dxa"/>
                    <w:tblCellMar>
                      <w:left w:w="0" w:type="dxa"/>
                      <w:right w:w="0" w:type="dxa"/>
                    </w:tblCellMar>
                    <w:tblLook w:val="04A0"/>
                  </w:tblPr>
                  <w:tblGrid>
                    <w:gridCol w:w="9000"/>
                  </w:tblGrid>
                  <w:tr w:rsidR="00395612">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395612">
                          <w:trPr>
                            <w:tblCellSpacing w:w="0" w:type="dxa"/>
                          </w:trPr>
                          <w:tc>
                            <w:tcPr>
                              <w:tcW w:w="0" w:type="auto"/>
                              <w:shd w:val="clear" w:color="auto" w:fill="0018A8"/>
                              <w:tcMar>
                                <w:top w:w="0" w:type="dxa"/>
                                <w:left w:w="225" w:type="dxa"/>
                                <w:bottom w:w="0" w:type="dxa"/>
                                <w:right w:w="225" w:type="dxa"/>
                              </w:tcMar>
                              <w:vAlign w:val="center"/>
                              <w:hideMark/>
                            </w:tcPr>
                            <w:p w:rsidR="00395612" w:rsidRDefault="00395612">
                              <w:pPr>
                                <w:pStyle w:val="Titre2"/>
                                <w:rPr>
                                  <w:rFonts w:eastAsia="Times New Roman"/>
                                  <w:color w:val="FFFFFF"/>
                                </w:rPr>
                              </w:pPr>
                              <w:r>
                                <w:rPr>
                                  <w:rFonts w:eastAsia="Times New Roman"/>
                                  <w:color w:val="FFFFFF"/>
                                </w:rPr>
                                <w:t xml:space="preserve">Droit à la mobilité autonome reconnu aux personnes en situation de handicap </w:t>
                              </w:r>
                            </w:p>
                          </w:tc>
                        </w:tr>
                      </w:tbl>
                      <w:p w:rsidR="00395612" w:rsidRDefault="00395612">
                        <w:pPr>
                          <w:rPr>
                            <w:rFonts w:eastAsia="Times New Roman"/>
                            <w:sz w:val="20"/>
                            <w:szCs w:val="20"/>
                          </w:rPr>
                        </w:pPr>
                      </w:p>
                    </w:tc>
                  </w:tr>
                  <w:tr w:rsidR="00395612">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395612">
                          <w:tc>
                            <w:tcPr>
                              <w:tcW w:w="5000" w:type="pct"/>
                              <w:hideMark/>
                            </w:tcPr>
                            <w:p w:rsidR="00395612" w:rsidRDefault="00395612">
                              <w:pPr>
                                <w:rPr>
                                  <w:rFonts w:eastAsia="Times New Roman"/>
                                </w:rPr>
                              </w:pPr>
                              <w:r>
                                <w:rPr>
                                  <w:rFonts w:eastAsia="Times New Roman"/>
                                </w:rPr>
                                <w:t xml:space="preserve">En janvier 2018, Inclusion Handicap avait fait recours auprès du Tribunal fédéral contre l’autorisation d’exploitation temporaire du nouveau train duplex des </w:t>
                              </w:r>
                              <w:proofErr w:type="spellStart"/>
                              <w:r>
                                <w:rPr>
                                  <w:rFonts w:eastAsia="Times New Roman"/>
                                </w:rPr>
                                <w:t>CFF</w:t>
                              </w:r>
                              <w:proofErr w:type="spellEnd"/>
                              <w:r>
                                <w:rPr>
                                  <w:rFonts w:eastAsia="Times New Roman"/>
                                </w:rPr>
                                <w:t xml:space="preserve">, faisant valoir que divers éléments d’aménagement des nouveaux trains ne répondaient pas aux exigences de la </w:t>
                              </w:r>
                              <w:proofErr w:type="spellStart"/>
                              <w:r>
                                <w:rPr>
                                  <w:rFonts w:eastAsia="Times New Roman"/>
                                </w:rPr>
                                <w:t>LHand</w:t>
                              </w:r>
                              <w:proofErr w:type="spellEnd"/>
                              <w:r>
                                <w:rPr>
                                  <w:rFonts w:eastAsia="Times New Roman"/>
                                </w:rPr>
                                <w:t>. Quatre ans plus tard, le Tribunal fédéral définit dans son arrêt des règles claires en matière d’accessibilité des transports publics pour toutes les personnes en situation de handicap et leur reconnaît explicitement un droit constitutionnel à une mobilité autonome.</w:t>
                              </w:r>
                            </w:p>
                            <w:p w:rsidR="00395612" w:rsidRDefault="00395612">
                              <w:pPr>
                                <w:numPr>
                                  <w:ilvl w:val="0"/>
                                  <w:numId w:val="3"/>
                                </w:numPr>
                                <w:spacing w:before="100" w:beforeAutospacing="1" w:after="100" w:afterAutospacing="1"/>
                                <w:rPr>
                                  <w:rFonts w:eastAsia="Times New Roman"/>
                                </w:rPr>
                              </w:pPr>
                              <w:hyperlink r:id="rId11" w:tooltip="Droit à la mobilité autonome reconnu aux personnes en situation de handicap" w:history="1">
                                <w:r>
                                  <w:rPr>
                                    <w:rStyle w:val="Lienhypertexte"/>
                                    <w:rFonts w:eastAsia="Times New Roman"/>
                                  </w:rPr>
                                  <w:t>En savoir plus</w:t>
                                </w:r>
                                <w:r>
                                  <w:rPr>
                                    <w:rStyle w:val="visually-hidden"/>
                                    <w:rFonts w:eastAsia="Times New Roman"/>
                                    <w:color w:val="0000FF"/>
                                  </w:rPr>
                                  <w:t xml:space="preserve"> sur Droit à la mobilité autonome reconnu aux personnes en situation de handicap</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395612">
                          <w:trPr>
                            <w:trHeight w:val="240"/>
                            <w:tblCellSpacing w:w="0" w:type="dxa"/>
                          </w:trPr>
                          <w:tc>
                            <w:tcPr>
                              <w:tcW w:w="5000" w:type="pct"/>
                              <w:vAlign w:val="center"/>
                              <w:hideMark/>
                            </w:tcPr>
                            <w:p w:rsidR="00395612" w:rsidRDefault="00395612">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395612">
                          <w:tc>
                            <w:tcPr>
                              <w:tcW w:w="5000" w:type="pct"/>
                              <w:vAlign w:val="center"/>
                              <w:hideMark/>
                            </w:tcPr>
                            <w:p w:rsidR="00395612" w:rsidRDefault="00395612">
                              <w:pPr>
                                <w:rPr>
                                  <w:rFonts w:eastAsia="Times New Roman"/>
                                </w:rPr>
                              </w:pPr>
                              <w:r>
                                <w:rPr>
                                  <w:rFonts w:eastAsia="Times New Roman"/>
                                  <w:noProof/>
                                  <w:color w:val="0000FF"/>
                                </w:rPr>
                                <w:drawing>
                                  <wp:inline distT="0" distB="0" distL="0" distR="0">
                                    <wp:extent cx="2192020" cy="1459230"/>
                                    <wp:effectExtent l="19050" t="0" r="0" b="0"/>
                                    <wp:docPr id="4" name="Image 4" descr="Duplex au bord du la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plex au bord du lac"/>
                                            <pic:cNvPicPr>
                                              <a:picLocks noChangeAspect="1" noChangeArrowheads="1"/>
                                            </pic:cNvPicPr>
                                          </pic:nvPicPr>
                                          <pic:blipFill>
                                            <a:blip r:embed="rId12"/>
                                            <a:srcRect/>
                                            <a:stretch>
                                              <a:fillRect/>
                                            </a:stretch>
                                          </pic:blipFill>
                                          <pic:spPr bwMode="auto">
                                            <a:xfrm>
                                              <a:off x="0" y="0"/>
                                              <a:ext cx="2192020" cy="1459230"/>
                                            </a:xfrm>
                                            <a:prstGeom prst="rect">
                                              <a:avLst/>
                                            </a:prstGeom>
                                            <a:noFill/>
                                            <a:ln w="9525">
                                              <a:noFill/>
                                              <a:miter lim="800000"/>
                                              <a:headEnd/>
                                              <a:tailEnd/>
                                            </a:ln>
                                          </pic:spPr>
                                        </pic:pic>
                                      </a:graphicData>
                                    </a:graphic>
                                  </wp:inline>
                                </w:drawing>
                              </w:r>
                            </w:p>
                          </w:tc>
                        </w:tr>
                      </w:tbl>
                      <w:p w:rsidR="00395612" w:rsidRDefault="00395612">
                        <w:pPr>
                          <w:rPr>
                            <w:rFonts w:eastAsia="Times New Roman"/>
                            <w:sz w:val="20"/>
                            <w:szCs w:val="20"/>
                          </w:rPr>
                        </w:pPr>
                      </w:p>
                    </w:tc>
                  </w:tr>
                </w:tbl>
                <w:p w:rsidR="00395612" w:rsidRDefault="00395612">
                  <w:pPr>
                    <w:rPr>
                      <w:rFonts w:eastAsia="Times New Roman"/>
                      <w:vanish/>
                    </w:rPr>
                  </w:pPr>
                </w:p>
                <w:tbl>
                  <w:tblPr>
                    <w:tblW w:w="9000" w:type="dxa"/>
                    <w:jc w:val="center"/>
                    <w:tblCellSpacing w:w="0" w:type="dxa"/>
                    <w:tblCellMar>
                      <w:left w:w="0" w:type="dxa"/>
                      <w:right w:w="0" w:type="dxa"/>
                    </w:tblCellMar>
                    <w:tblLook w:val="04A0"/>
                  </w:tblPr>
                  <w:tblGrid>
                    <w:gridCol w:w="9000"/>
                  </w:tblGrid>
                  <w:tr w:rsidR="00395612">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395612">
                          <w:trPr>
                            <w:tblCellSpacing w:w="0" w:type="dxa"/>
                          </w:trPr>
                          <w:tc>
                            <w:tcPr>
                              <w:tcW w:w="0" w:type="auto"/>
                              <w:shd w:val="clear" w:color="auto" w:fill="0018A8"/>
                              <w:tcMar>
                                <w:top w:w="0" w:type="dxa"/>
                                <w:left w:w="225" w:type="dxa"/>
                                <w:bottom w:w="0" w:type="dxa"/>
                                <w:right w:w="225" w:type="dxa"/>
                              </w:tcMar>
                              <w:vAlign w:val="center"/>
                              <w:hideMark/>
                            </w:tcPr>
                            <w:p w:rsidR="00395612" w:rsidRDefault="00395612">
                              <w:pPr>
                                <w:pStyle w:val="Titre2"/>
                                <w:rPr>
                                  <w:rFonts w:eastAsia="Times New Roman"/>
                                  <w:color w:val="FFFFFF"/>
                                </w:rPr>
                              </w:pPr>
                              <w:r>
                                <w:rPr>
                                  <w:rFonts w:eastAsia="Times New Roman"/>
                                  <w:color w:val="FFFFFF"/>
                                </w:rPr>
                                <w:t xml:space="preserve">Chargement de tandems par les voyageurs dans les trains grandes lignes dès 2022 </w:t>
                              </w:r>
                            </w:p>
                          </w:tc>
                        </w:tr>
                      </w:tbl>
                      <w:p w:rsidR="00395612" w:rsidRDefault="00395612">
                        <w:pPr>
                          <w:rPr>
                            <w:rFonts w:eastAsia="Times New Roman"/>
                            <w:sz w:val="20"/>
                            <w:szCs w:val="20"/>
                          </w:rPr>
                        </w:pPr>
                      </w:p>
                    </w:tc>
                  </w:tr>
                  <w:tr w:rsidR="00395612">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395612">
                          <w:tc>
                            <w:tcPr>
                              <w:tcW w:w="5000" w:type="pct"/>
                              <w:hideMark/>
                            </w:tcPr>
                            <w:p w:rsidR="00395612" w:rsidRDefault="00395612">
                              <w:pPr>
                                <w:rPr>
                                  <w:rFonts w:eastAsia="Times New Roman"/>
                                </w:rPr>
                              </w:pPr>
                              <w:r>
                                <w:rPr>
                                  <w:rFonts w:eastAsia="Times New Roman"/>
                                </w:rPr>
                                <w:t xml:space="preserve">On connaît désormais les lignes longue distance sur lesquelles le chargement de tandems est autorisé à partir de 2022. L’offre est </w:t>
                              </w:r>
                              <w:proofErr w:type="gramStart"/>
                              <w:r>
                                <w:rPr>
                                  <w:rFonts w:eastAsia="Times New Roman"/>
                                </w:rPr>
                                <w:t>gratuite</w:t>
                              </w:r>
                              <w:proofErr w:type="gramEnd"/>
                              <w:r>
                                <w:rPr>
                                  <w:rFonts w:eastAsia="Times New Roman"/>
                                </w:rPr>
                                <w:t xml:space="preserve"> pour les tandems de voyageurs aveugles et malvoyants, mais le chargement doit faire l’objet d’une réservation préalable et est limité à un tandem par train.</w:t>
                              </w:r>
                            </w:p>
                            <w:p w:rsidR="00395612" w:rsidRDefault="00395612">
                              <w:pPr>
                                <w:numPr>
                                  <w:ilvl w:val="0"/>
                                  <w:numId w:val="4"/>
                                </w:numPr>
                                <w:spacing w:before="100" w:beforeAutospacing="1" w:after="100" w:afterAutospacing="1"/>
                                <w:rPr>
                                  <w:rFonts w:eastAsia="Times New Roman"/>
                                </w:rPr>
                              </w:pPr>
                              <w:hyperlink r:id="rId13" w:tooltip="Chargement de tandems par les voyageurs dans les trains grandes lignes dès 2022" w:history="1">
                                <w:r>
                                  <w:rPr>
                                    <w:rStyle w:val="Lienhypertexte"/>
                                    <w:rFonts w:eastAsia="Times New Roman"/>
                                  </w:rPr>
                                  <w:t>En savoir plus</w:t>
                                </w:r>
                                <w:r>
                                  <w:rPr>
                                    <w:rStyle w:val="visually-hidden"/>
                                    <w:rFonts w:eastAsia="Times New Roman"/>
                                    <w:color w:val="0000FF"/>
                                  </w:rPr>
                                  <w:t xml:space="preserve"> sur Chargement de tandems par les voyageurs dans les trains grandes lignes dès 2022</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395612">
                          <w:trPr>
                            <w:trHeight w:val="240"/>
                            <w:tblCellSpacing w:w="0" w:type="dxa"/>
                          </w:trPr>
                          <w:tc>
                            <w:tcPr>
                              <w:tcW w:w="5000" w:type="pct"/>
                              <w:vAlign w:val="center"/>
                              <w:hideMark/>
                            </w:tcPr>
                            <w:p w:rsidR="00395612" w:rsidRDefault="00395612">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395612">
                          <w:tc>
                            <w:tcPr>
                              <w:tcW w:w="5000" w:type="pct"/>
                              <w:vAlign w:val="center"/>
                              <w:hideMark/>
                            </w:tcPr>
                            <w:p w:rsidR="00395612" w:rsidRDefault="00395612">
                              <w:pPr>
                                <w:rPr>
                                  <w:rFonts w:eastAsia="Times New Roman"/>
                                </w:rPr>
                              </w:pPr>
                              <w:r>
                                <w:rPr>
                                  <w:rFonts w:eastAsia="Times New Roman"/>
                                  <w:noProof/>
                                  <w:color w:val="0000FF"/>
                                </w:rPr>
                                <w:drawing>
                                  <wp:inline distT="0" distB="0" distL="0" distR="0">
                                    <wp:extent cx="2192020" cy="1553210"/>
                                    <wp:effectExtent l="19050" t="0" r="0" b="0"/>
                                    <wp:docPr id="5" name="Image 5" descr="Tandem en route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ndem en route "/>
                                            <pic:cNvPicPr>
                                              <a:picLocks noChangeAspect="1" noChangeArrowheads="1"/>
                                            </pic:cNvPicPr>
                                          </pic:nvPicPr>
                                          <pic:blipFill>
                                            <a:blip r:embed="rId14"/>
                                            <a:srcRect/>
                                            <a:stretch>
                                              <a:fillRect/>
                                            </a:stretch>
                                          </pic:blipFill>
                                          <pic:spPr bwMode="auto">
                                            <a:xfrm>
                                              <a:off x="0" y="0"/>
                                              <a:ext cx="2192020" cy="1553210"/>
                                            </a:xfrm>
                                            <a:prstGeom prst="rect">
                                              <a:avLst/>
                                            </a:prstGeom>
                                            <a:noFill/>
                                            <a:ln w="9525">
                                              <a:noFill/>
                                              <a:miter lim="800000"/>
                                              <a:headEnd/>
                                              <a:tailEnd/>
                                            </a:ln>
                                          </pic:spPr>
                                        </pic:pic>
                                      </a:graphicData>
                                    </a:graphic>
                                  </wp:inline>
                                </w:drawing>
                              </w:r>
                            </w:p>
                          </w:tc>
                        </w:tr>
                      </w:tbl>
                      <w:p w:rsidR="00395612" w:rsidRDefault="00395612">
                        <w:pPr>
                          <w:rPr>
                            <w:rFonts w:eastAsia="Times New Roman"/>
                            <w:sz w:val="20"/>
                            <w:szCs w:val="20"/>
                          </w:rPr>
                        </w:pPr>
                      </w:p>
                    </w:tc>
                  </w:tr>
                </w:tbl>
                <w:p w:rsidR="00395612" w:rsidRDefault="00395612">
                  <w:pPr>
                    <w:rPr>
                      <w:rFonts w:eastAsia="Times New Roman"/>
                      <w:vanish/>
                    </w:rPr>
                  </w:pPr>
                </w:p>
                <w:tbl>
                  <w:tblPr>
                    <w:tblW w:w="9000" w:type="dxa"/>
                    <w:jc w:val="center"/>
                    <w:tblCellSpacing w:w="0" w:type="dxa"/>
                    <w:tblCellMar>
                      <w:left w:w="0" w:type="dxa"/>
                      <w:right w:w="0" w:type="dxa"/>
                    </w:tblCellMar>
                    <w:tblLook w:val="04A0"/>
                  </w:tblPr>
                  <w:tblGrid>
                    <w:gridCol w:w="9000"/>
                  </w:tblGrid>
                  <w:tr w:rsidR="00395612">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395612">
                          <w:trPr>
                            <w:tblCellSpacing w:w="0" w:type="dxa"/>
                          </w:trPr>
                          <w:tc>
                            <w:tcPr>
                              <w:tcW w:w="0" w:type="auto"/>
                              <w:shd w:val="clear" w:color="auto" w:fill="0018A8"/>
                              <w:tcMar>
                                <w:top w:w="0" w:type="dxa"/>
                                <w:left w:w="225" w:type="dxa"/>
                                <w:bottom w:w="0" w:type="dxa"/>
                                <w:right w:w="225" w:type="dxa"/>
                              </w:tcMar>
                              <w:vAlign w:val="center"/>
                              <w:hideMark/>
                            </w:tcPr>
                            <w:p w:rsidR="00395612" w:rsidRDefault="00395612">
                              <w:pPr>
                                <w:pStyle w:val="Titre2"/>
                                <w:rPr>
                                  <w:rFonts w:eastAsia="Times New Roman"/>
                                  <w:color w:val="FFFFFF"/>
                                </w:rPr>
                              </w:pPr>
                              <w:r>
                                <w:rPr>
                                  <w:rFonts w:eastAsia="Times New Roman"/>
                                  <w:color w:val="FFFFFF"/>
                                </w:rPr>
                                <w:t xml:space="preserve">L’Ecole de la pomme fête ses 10 ans d’existence avec visite guidée de la ville de Soleure et randonnée dans la campagne soleuroise </w:t>
                              </w:r>
                            </w:p>
                          </w:tc>
                        </w:tr>
                      </w:tbl>
                      <w:p w:rsidR="00395612" w:rsidRDefault="00395612">
                        <w:pPr>
                          <w:rPr>
                            <w:rFonts w:eastAsia="Times New Roman"/>
                            <w:sz w:val="20"/>
                            <w:szCs w:val="20"/>
                          </w:rPr>
                        </w:pPr>
                      </w:p>
                    </w:tc>
                  </w:tr>
                  <w:tr w:rsidR="00395612">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395612">
                          <w:tc>
                            <w:tcPr>
                              <w:tcW w:w="5000" w:type="pct"/>
                              <w:hideMark/>
                            </w:tcPr>
                            <w:p w:rsidR="00395612" w:rsidRDefault="00395612">
                              <w:pPr>
                                <w:rPr>
                                  <w:rFonts w:eastAsia="Times New Roman"/>
                                </w:rPr>
                              </w:pPr>
                              <w:r>
                                <w:rPr>
                                  <w:rFonts w:eastAsia="Times New Roman"/>
                                </w:rPr>
                                <w:t xml:space="preserve">Le 14 février 2022, l’Ecole de la pomme a dignement fêté à Soleure ses 10 ans d’existence, avec au programme une visite guidée de la ville et une randonnée avec l’aide de l’appli </w:t>
                              </w:r>
                              <w:proofErr w:type="spellStart"/>
                              <w:r>
                                <w:rPr>
                                  <w:rFonts w:eastAsia="Times New Roman"/>
                                </w:rPr>
                                <w:t>MyWay</w:t>
                              </w:r>
                              <w:proofErr w:type="spellEnd"/>
                              <w:r>
                                <w:rPr>
                                  <w:rFonts w:eastAsia="Times New Roman"/>
                                </w:rPr>
                                <w:t xml:space="preserve"> Pro.</w:t>
                              </w:r>
                            </w:p>
                            <w:p w:rsidR="00395612" w:rsidRDefault="00395612">
                              <w:pPr>
                                <w:numPr>
                                  <w:ilvl w:val="0"/>
                                  <w:numId w:val="5"/>
                                </w:numPr>
                                <w:spacing w:before="100" w:beforeAutospacing="1" w:after="100" w:afterAutospacing="1"/>
                                <w:rPr>
                                  <w:rFonts w:eastAsia="Times New Roman"/>
                                </w:rPr>
                              </w:pPr>
                              <w:hyperlink r:id="rId15" w:tooltip="L’Ecole de la pomme fête ses 10 ans d’existence avec visite guidée de la ville de Soleure et randonnée dans la campagne soleuroise" w:history="1">
                                <w:r>
                                  <w:rPr>
                                    <w:rStyle w:val="Lienhypertexte"/>
                                    <w:rFonts w:eastAsia="Times New Roman"/>
                                  </w:rPr>
                                  <w:t>En savoir plus</w:t>
                                </w:r>
                                <w:r>
                                  <w:rPr>
                                    <w:rStyle w:val="visually-hidden"/>
                                    <w:rFonts w:eastAsia="Times New Roman"/>
                                    <w:color w:val="0000FF"/>
                                  </w:rPr>
                                  <w:t xml:space="preserve"> sur L’Ecole de la pomme fête ses 10 ans d’existence avec visite guidée de la ville de Soleure et randonnée dans la campagne soleuroise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395612">
                          <w:trPr>
                            <w:trHeight w:val="240"/>
                            <w:tblCellSpacing w:w="0" w:type="dxa"/>
                          </w:trPr>
                          <w:tc>
                            <w:tcPr>
                              <w:tcW w:w="5000" w:type="pct"/>
                              <w:vAlign w:val="center"/>
                              <w:hideMark/>
                            </w:tcPr>
                            <w:p w:rsidR="00395612" w:rsidRDefault="00395612">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395612">
                          <w:tc>
                            <w:tcPr>
                              <w:tcW w:w="5000" w:type="pct"/>
                              <w:vAlign w:val="center"/>
                              <w:hideMark/>
                            </w:tcPr>
                            <w:p w:rsidR="00395612" w:rsidRDefault="00395612">
                              <w:pPr>
                                <w:rPr>
                                  <w:rFonts w:eastAsia="Times New Roman"/>
                                </w:rPr>
                              </w:pPr>
                              <w:r>
                                <w:rPr>
                                  <w:rFonts w:eastAsia="Times New Roman"/>
                                  <w:noProof/>
                                  <w:color w:val="0000FF"/>
                                </w:rPr>
                                <w:drawing>
                                  <wp:inline distT="0" distB="0" distL="0" distR="0">
                                    <wp:extent cx="2192020" cy="1811020"/>
                                    <wp:effectExtent l="19050" t="0" r="0" b="0"/>
                                    <wp:docPr id="6" name="Image 6" descr="Visite guidée de l'école de la pomm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ite guidée de l'école de la pomme"/>
                                            <pic:cNvPicPr>
                                              <a:picLocks noChangeAspect="1" noChangeArrowheads="1"/>
                                            </pic:cNvPicPr>
                                          </pic:nvPicPr>
                                          <pic:blipFill>
                                            <a:blip r:embed="rId16"/>
                                            <a:srcRect/>
                                            <a:stretch>
                                              <a:fillRect/>
                                            </a:stretch>
                                          </pic:blipFill>
                                          <pic:spPr bwMode="auto">
                                            <a:xfrm>
                                              <a:off x="0" y="0"/>
                                              <a:ext cx="2192020" cy="1811020"/>
                                            </a:xfrm>
                                            <a:prstGeom prst="rect">
                                              <a:avLst/>
                                            </a:prstGeom>
                                            <a:noFill/>
                                            <a:ln w="9525">
                                              <a:noFill/>
                                              <a:miter lim="800000"/>
                                              <a:headEnd/>
                                              <a:tailEnd/>
                                            </a:ln>
                                          </pic:spPr>
                                        </pic:pic>
                                      </a:graphicData>
                                    </a:graphic>
                                  </wp:inline>
                                </w:drawing>
                              </w:r>
                            </w:p>
                          </w:tc>
                        </w:tr>
                      </w:tbl>
                      <w:p w:rsidR="00395612" w:rsidRDefault="00395612">
                        <w:pPr>
                          <w:rPr>
                            <w:rFonts w:eastAsia="Times New Roman"/>
                            <w:sz w:val="20"/>
                            <w:szCs w:val="20"/>
                          </w:rPr>
                        </w:pPr>
                      </w:p>
                    </w:tc>
                  </w:tr>
                </w:tbl>
                <w:p w:rsidR="00395612" w:rsidRDefault="00395612">
                  <w:pPr>
                    <w:rPr>
                      <w:rFonts w:eastAsia="Times New Roman"/>
                      <w:vanish/>
                    </w:rPr>
                  </w:pPr>
                </w:p>
                <w:tbl>
                  <w:tblPr>
                    <w:tblW w:w="9000" w:type="dxa"/>
                    <w:jc w:val="center"/>
                    <w:tblCellSpacing w:w="0" w:type="dxa"/>
                    <w:tblCellMar>
                      <w:left w:w="0" w:type="dxa"/>
                      <w:right w:w="0" w:type="dxa"/>
                    </w:tblCellMar>
                    <w:tblLook w:val="04A0"/>
                  </w:tblPr>
                  <w:tblGrid>
                    <w:gridCol w:w="9000"/>
                  </w:tblGrid>
                  <w:tr w:rsidR="00395612">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395612">
                          <w:trPr>
                            <w:tblCellSpacing w:w="0" w:type="dxa"/>
                          </w:trPr>
                          <w:tc>
                            <w:tcPr>
                              <w:tcW w:w="0" w:type="auto"/>
                              <w:shd w:val="clear" w:color="auto" w:fill="0018A8"/>
                              <w:tcMar>
                                <w:top w:w="0" w:type="dxa"/>
                                <w:left w:w="225" w:type="dxa"/>
                                <w:bottom w:w="0" w:type="dxa"/>
                                <w:right w:w="225" w:type="dxa"/>
                              </w:tcMar>
                              <w:vAlign w:val="center"/>
                              <w:hideMark/>
                            </w:tcPr>
                            <w:p w:rsidR="00395612" w:rsidRDefault="00395612">
                              <w:pPr>
                                <w:pStyle w:val="Titre2"/>
                                <w:rPr>
                                  <w:rFonts w:eastAsia="Times New Roman"/>
                                  <w:color w:val="FFFFFF"/>
                                </w:rPr>
                              </w:pPr>
                              <w:r>
                                <w:rPr>
                                  <w:rFonts w:eastAsia="Times New Roman"/>
                                  <w:color w:val="FFFFFF"/>
                                </w:rPr>
                                <w:t>Projet «</w:t>
                              </w:r>
                              <w:proofErr w:type="spellStart"/>
                              <w:r>
                                <w:rPr>
                                  <w:rFonts w:eastAsia="Times New Roman"/>
                                  <w:color w:val="FFFFFF"/>
                                </w:rPr>
                                <w:t>Musikalischer</w:t>
                              </w:r>
                              <w:proofErr w:type="spellEnd"/>
                              <w:r>
                                <w:rPr>
                                  <w:rFonts w:eastAsia="Times New Roman"/>
                                  <w:color w:val="FFFFFF"/>
                                </w:rPr>
                                <w:t xml:space="preserve"> </w:t>
                              </w:r>
                              <w:proofErr w:type="spellStart"/>
                              <w:r>
                                <w:rPr>
                                  <w:rFonts w:eastAsia="Times New Roman"/>
                                  <w:color w:val="FFFFFF"/>
                                </w:rPr>
                                <w:t>Gehör</w:t>
                              </w:r>
                              <w:proofErr w:type="spellEnd"/>
                              <w:r>
                                <w:rPr>
                                  <w:rFonts w:eastAsia="Times New Roman"/>
                                  <w:color w:val="FFFFFF"/>
                                </w:rPr>
                                <w:t xml:space="preserve">-Gang der </w:t>
                              </w:r>
                              <w:proofErr w:type="spellStart"/>
                              <w:r>
                                <w:rPr>
                                  <w:rFonts w:eastAsia="Times New Roman"/>
                                  <w:color w:val="FFFFFF"/>
                                </w:rPr>
                                <w:t>Bilder</w:t>
                              </w:r>
                              <w:proofErr w:type="spellEnd"/>
                              <w:r>
                                <w:rPr>
                                  <w:rFonts w:eastAsia="Times New Roman"/>
                                  <w:color w:val="FFFFFF"/>
                                </w:rPr>
                                <w:t xml:space="preserve">» (transcription d’œuvres d’art en musique): recherche de partenaires d’interview handicapés de la vue </w:t>
                              </w:r>
                            </w:p>
                          </w:tc>
                        </w:tr>
                      </w:tbl>
                      <w:p w:rsidR="00395612" w:rsidRDefault="00395612">
                        <w:pPr>
                          <w:rPr>
                            <w:rFonts w:eastAsia="Times New Roman"/>
                            <w:sz w:val="20"/>
                            <w:szCs w:val="20"/>
                          </w:rPr>
                        </w:pPr>
                      </w:p>
                    </w:tc>
                  </w:tr>
                  <w:tr w:rsidR="00395612">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395612">
                          <w:tc>
                            <w:tcPr>
                              <w:tcW w:w="5000" w:type="pct"/>
                              <w:hideMark/>
                            </w:tcPr>
                            <w:p w:rsidR="00395612" w:rsidRDefault="00395612">
                              <w:pPr>
                                <w:rPr>
                                  <w:rFonts w:eastAsia="Times New Roman"/>
                                </w:rPr>
                              </w:pPr>
                              <w:r>
                                <w:rPr>
                                  <w:rFonts w:eastAsia="Times New Roman"/>
                                </w:rPr>
                                <w:t>Le projet «</w:t>
                              </w:r>
                              <w:proofErr w:type="spellStart"/>
                              <w:r>
                                <w:rPr>
                                  <w:rFonts w:eastAsia="Times New Roman"/>
                                </w:rPr>
                                <w:t>Musikalischer</w:t>
                              </w:r>
                              <w:proofErr w:type="spellEnd"/>
                              <w:r>
                                <w:rPr>
                                  <w:rFonts w:eastAsia="Times New Roman"/>
                                </w:rPr>
                                <w:t xml:space="preserve"> </w:t>
                              </w:r>
                              <w:proofErr w:type="spellStart"/>
                              <w:r>
                                <w:rPr>
                                  <w:rFonts w:eastAsia="Times New Roman"/>
                                </w:rPr>
                                <w:t>Gehör</w:t>
                              </w:r>
                              <w:proofErr w:type="spellEnd"/>
                              <w:r>
                                <w:rPr>
                                  <w:rFonts w:eastAsia="Times New Roman"/>
                                </w:rPr>
                                <w:t xml:space="preserve">-Gang der </w:t>
                              </w:r>
                              <w:proofErr w:type="spellStart"/>
                              <w:r>
                                <w:rPr>
                                  <w:rFonts w:eastAsia="Times New Roman"/>
                                </w:rPr>
                                <w:t>Bilder</w:t>
                              </w:r>
                              <w:proofErr w:type="spellEnd"/>
                              <w:r>
                                <w:rPr>
                                  <w:rFonts w:eastAsia="Times New Roman"/>
                                </w:rPr>
                                <w:t xml:space="preserve">» ne se contente pas de décrire le contenu d’œuvres d’art. Afin de permettre aux amateurs d’art aveugles et malvoyants d’appréhender les émotions émanant d’une œuvre d’art, le projet propose de convertir </w:t>
                              </w:r>
                              <w:r>
                                <w:rPr>
                                  <w:rFonts w:eastAsia="Times New Roman"/>
                                </w:rPr>
                                <w:lastRenderedPageBreak/>
                                <w:t>certains tableaux en univers sonores. A cette fin, les initiateurs du projet recherchent des partenaires d’interviews aveugles et malvoyants.</w:t>
                              </w:r>
                            </w:p>
                            <w:p w:rsidR="00395612" w:rsidRDefault="00395612">
                              <w:pPr>
                                <w:numPr>
                                  <w:ilvl w:val="0"/>
                                  <w:numId w:val="6"/>
                                </w:numPr>
                                <w:spacing w:before="100" w:beforeAutospacing="1" w:after="100" w:afterAutospacing="1"/>
                                <w:rPr>
                                  <w:rFonts w:eastAsia="Times New Roman"/>
                                </w:rPr>
                              </w:pPr>
                              <w:hyperlink r:id="rId17" w:tooltip="Projet «Musikalischer Gehör-Gang der Bilder» (transcription d’œuvres d’art en musique): recherche de partenaires d’interview handicapés de la vue " w:history="1">
                                <w:r>
                                  <w:rPr>
                                    <w:rStyle w:val="Lienhypertexte"/>
                                    <w:rFonts w:eastAsia="Times New Roman"/>
                                  </w:rPr>
                                  <w:t>En savoir plus</w:t>
                                </w:r>
                                <w:r>
                                  <w:rPr>
                                    <w:rStyle w:val="visually-hidden"/>
                                    <w:rFonts w:eastAsia="Times New Roman"/>
                                    <w:color w:val="0000FF"/>
                                  </w:rPr>
                                  <w:t xml:space="preserve"> sur Projet «</w:t>
                                </w:r>
                                <w:proofErr w:type="spellStart"/>
                                <w:r>
                                  <w:rPr>
                                    <w:rStyle w:val="visually-hidden"/>
                                    <w:rFonts w:eastAsia="Times New Roman"/>
                                    <w:color w:val="0000FF"/>
                                  </w:rPr>
                                  <w:t>Musikalischer</w:t>
                                </w:r>
                                <w:proofErr w:type="spellEnd"/>
                                <w:r>
                                  <w:rPr>
                                    <w:rStyle w:val="visually-hidden"/>
                                    <w:rFonts w:eastAsia="Times New Roman"/>
                                    <w:color w:val="0000FF"/>
                                  </w:rPr>
                                  <w:t xml:space="preserve"> </w:t>
                                </w:r>
                                <w:proofErr w:type="spellStart"/>
                                <w:r>
                                  <w:rPr>
                                    <w:rStyle w:val="visually-hidden"/>
                                    <w:rFonts w:eastAsia="Times New Roman"/>
                                    <w:color w:val="0000FF"/>
                                  </w:rPr>
                                  <w:t>Gehör</w:t>
                                </w:r>
                                <w:proofErr w:type="spellEnd"/>
                                <w:r>
                                  <w:rPr>
                                    <w:rStyle w:val="visually-hidden"/>
                                    <w:rFonts w:eastAsia="Times New Roman"/>
                                    <w:color w:val="0000FF"/>
                                  </w:rPr>
                                  <w:t xml:space="preserve">-Gang der </w:t>
                                </w:r>
                                <w:proofErr w:type="spellStart"/>
                                <w:r>
                                  <w:rPr>
                                    <w:rStyle w:val="visually-hidden"/>
                                    <w:rFonts w:eastAsia="Times New Roman"/>
                                    <w:color w:val="0000FF"/>
                                  </w:rPr>
                                  <w:t>Bilder</w:t>
                                </w:r>
                                <w:proofErr w:type="spellEnd"/>
                                <w:r>
                                  <w:rPr>
                                    <w:rStyle w:val="visually-hidden"/>
                                    <w:rFonts w:eastAsia="Times New Roman"/>
                                    <w:color w:val="0000FF"/>
                                  </w:rPr>
                                  <w:t xml:space="preserve">» (transcription d’œuvres d’art en musique): recherche de partenaires d’interview handicapés de la vue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395612">
                          <w:trPr>
                            <w:trHeight w:val="240"/>
                            <w:tblCellSpacing w:w="0" w:type="dxa"/>
                          </w:trPr>
                          <w:tc>
                            <w:tcPr>
                              <w:tcW w:w="5000" w:type="pct"/>
                              <w:vAlign w:val="center"/>
                              <w:hideMark/>
                            </w:tcPr>
                            <w:p w:rsidR="00395612" w:rsidRDefault="00395612">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395612">
                          <w:tc>
                            <w:tcPr>
                              <w:tcW w:w="5000" w:type="pct"/>
                              <w:vAlign w:val="center"/>
                              <w:hideMark/>
                            </w:tcPr>
                            <w:p w:rsidR="00395612" w:rsidRDefault="00395612">
                              <w:pPr>
                                <w:rPr>
                                  <w:rFonts w:eastAsia="Times New Roman"/>
                                </w:rPr>
                              </w:pPr>
                              <w:r>
                                <w:rPr>
                                  <w:rFonts w:eastAsia="Times New Roman"/>
                                  <w:noProof/>
                                  <w:color w:val="0000FF"/>
                                </w:rPr>
                                <w:drawing>
                                  <wp:inline distT="0" distB="0" distL="0" distR="0">
                                    <wp:extent cx="2192020" cy="1459230"/>
                                    <wp:effectExtent l="19050" t="0" r="0" b="0"/>
                                    <wp:docPr id="7" name="Image 7" descr="Une personne avec une canne blanche se tient devant une grande peinture murale (photo Harry Schnitger Berlinische Galeri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personne avec une canne blanche se tient devant une grande peinture murale (photo Harry Schnitger Berlinische Galerie)"/>
                                            <pic:cNvPicPr>
                                              <a:picLocks noChangeAspect="1" noChangeArrowheads="1"/>
                                            </pic:cNvPicPr>
                                          </pic:nvPicPr>
                                          <pic:blipFill>
                                            <a:blip r:embed="rId18"/>
                                            <a:srcRect/>
                                            <a:stretch>
                                              <a:fillRect/>
                                            </a:stretch>
                                          </pic:blipFill>
                                          <pic:spPr bwMode="auto">
                                            <a:xfrm>
                                              <a:off x="0" y="0"/>
                                              <a:ext cx="2192020" cy="1459230"/>
                                            </a:xfrm>
                                            <a:prstGeom prst="rect">
                                              <a:avLst/>
                                            </a:prstGeom>
                                            <a:noFill/>
                                            <a:ln w="9525">
                                              <a:noFill/>
                                              <a:miter lim="800000"/>
                                              <a:headEnd/>
                                              <a:tailEnd/>
                                            </a:ln>
                                          </pic:spPr>
                                        </pic:pic>
                                      </a:graphicData>
                                    </a:graphic>
                                  </wp:inline>
                                </w:drawing>
                              </w:r>
                            </w:p>
                          </w:tc>
                        </w:tr>
                      </w:tbl>
                      <w:p w:rsidR="00395612" w:rsidRDefault="00395612">
                        <w:pPr>
                          <w:rPr>
                            <w:rFonts w:eastAsia="Times New Roman"/>
                            <w:sz w:val="20"/>
                            <w:szCs w:val="20"/>
                          </w:rPr>
                        </w:pPr>
                      </w:p>
                    </w:tc>
                  </w:tr>
                </w:tbl>
                <w:p w:rsidR="00395612" w:rsidRDefault="00395612">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395612">
                    <w:trPr>
                      <w:tblCellSpacing w:w="0" w:type="dxa"/>
                    </w:trPr>
                    <w:tc>
                      <w:tcPr>
                        <w:tcW w:w="0" w:type="auto"/>
                        <w:vAlign w:val="center"/>
                        <w:hideMark/>
                      </w:tcPr>
                      <w:p w:rsidR="00395612" w:rsidRDefault="00395612">
                        <w:pPr>
                          <w:rPr>
                            <w:rFonts w:eastAsia="Times New Roman"/>
                            <w:sz w:val="20"/>
                            <w:szCs w:val="20"/>
                          </w:rPr>
                        </w:pPr>
                      </w:p>
                    </w:tc>
                  </w:tr>
                </w:tbl>
                <w:p w:rsidR="00395612" w:rsidRDefault="00395612">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395612">
                    <w:trPr>
                      <w:tblCellSpacing w:w="0" w:type="dxa"/>
                    </w:trPr>
                    <w:tc>
                      <w:tcPr>
                        <w:tcW w:w="0" w:type="auto"/>
                        <w:shd w:val="clear" w:color="auto" w:fill="0018A8"/>
                        <w:vAlign w:val="center"/>
                        <w:hideMark/>
                      </w:tcPr>
                      <w:p w:rsidR="00395612" w:rsidRDefault="00395612">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4980" cy="504190"/>
                              <wp:effectExtent l="19050" t="0" r="1270" b="0"/>
                              <wp:docPr id="8" name="Image 8"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wo Logo"/>
                                      <pic:cNvPicPr>
                                        <a:picLocks noChangeAspect="1" noChangeArrowheads="1"/>
                                      </pic:cNvPicPr>
                                    </pic:nvPicPr>
                                    <pic:blipFill>
                                      <a:blip r:embed="rId19"/>
                                      <a:srcRect/>
                                      <a:stretch>
                                        <a:fillRect/>
                                      </a:stretch>
                                    </pic:blipFill>
                                    <pic:spPr bwMode="auto">
                                      <a:xfrm>
                                        <a:off x="0" y="0"/>
                                        <a:ext cx="474980" cy="504190"/>
                                      </a:xfrm>
                                      <a:prstGeom prst="rect">
                                        <a:avLst/>
                                      </a:prstGeom>
                                      <a:noFill/>
                                      <a:ln w="9525">
                                        <a:noFill/>
                                        <a:miter lim="800000"/>
                                        <a:headEnd/>
                                        <a:tailEnd/>
                                      </a:ln>
                                    </pic:spPr>
                                  </pic:pic>
                                </a:graphicData>
                              </a:graphic>
                            </wp:inline>
                          </w:drawing>
                        </w:r>
                      </w:p>
                      <w:p w:rsidR="00395612" w:rsidRDefault="00395612">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0" w:history="1">
                          <w:r>
                            <w:rPr>
                              <w:rStyle w:val="Lienhypertexte"/>
                              <w:color w:val="FFFFFF"/>
                              <w:sz w:val="19"/>
                              <w:szCs w:val="19"/>
                            </w:rPr>
                            <w:t>désabonner</w:t>
                          </w:r>
                        </w:hyperlink>
                        <w:r>
                          <w:rPr>
                            <w:color w:val="FFFFFF"/>
                            <w:sz w:val="19"/>
                            <w:szCs w:val="19"/>
                          </w:rPr>
                          <w:t>.</w:t>
                        </w:r>
                      </w:p>
                    </w:tc>
                  </w:tr>
                </w:tbl>
                <w:p w:rsidR="00395612" w:rsidRDefault="00395612">
                  <w:pPr>
                    <w:rPr>
                      <w:rFonts w:eastAsia="Times New Roman"/>
                      <w:sz w:val="20"/>
                      <w:szCs w:val="20"/>
                    </w:rPr>
                  </w:pPr>
                </w:p>
              </w:tc>
            </w:tr>
          </w:tbl>
          <w:p w:rsidR="00395612" w:rsidRDefault="00395612">
            <w:pPr>
              <w:jc w:val="center"/>
              <w:rPr>
                <w:rFonts w:eastAsia="Times New Roman"/>
                <w:sz w:val="20"/>
                <w:szCs w:val="20"/>
              </w:rPr>
            </w:pPr>
          </w:p>
        </w:tc>
      </w:tr>
    </w:tbl>
    <w:p w:rsidR="00395612" w:rsidRDefault="00395612" w:rsidP="00395612">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2969"/>
    <w:multiLevelType w:val="multilevel"/>
    <w:tmpl w:val="A86A6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9133E7C"/>
    <w:multiLevelType w:val="multilevel"/>
    <w:tmpl w:val="D30C2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B43257"/>
    <w:multiLevelType w:val="multilevel"/>
    <w:tmpl w:val="CB8EB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0AE7A82"/>
    <w:multiLevelType w:val="multilevel"/>
    <w:tmpl w:val="35542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1750F88"/>
    <w:multiLevelType w:val="multilevel"/>
    <w:tmpl w:val="F07C6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A6A2C29"/>
    <w:multiLevelType w:val="multilevel"/>
    <w:tmpl w:val="CA7A3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95612"/>
    <w:rsid w:val="0017744C"/>
    <w:rsid w:val="00395612"/>
    <w:rsid w:val="00406BC3"/>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12"/>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395612"/>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39561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612"/>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95612"/>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395612"/>
    <w:rPr>
      <w:color w:val="0000FF"/>
      <w:u w:val="single"/>
    </w:rPr>
  </w:style>
  <w:style w:type="paragraph" w:styleId="NormalWeb">
    <w:name w:val="Normal (Web)"/>
    <w:basedOn w:val="Normal"/>
    <w:uiPriority w:val="99"/>
    <w:unhideWhenUsed/>
    <w:rsid w:val="00395612"/>
    <w:pPr>
      <w:spacing w:before="100" w:beforeAutospacing="1" w:after="100" w:afterAutospacing="1"/>
    </w:pPr>
  </w:style>
  <w:style w:type="character" w:customStyle="1" w:styleId="visually-hidden">
    <w:name w:val="visually-hidden"/>
    <w:basedOn w:val="Policepardfaut"/>
    <w:rsid w:val="00395612"/>
  </w:style>
  <w:style w:type="paragraph" w:styleId="Textedebulles">
    <w:name w:val="Balloon Text"/>
    <w:basedOn w:val="Normal"/>
    <w:link w:val="TextedebullesCar"/>
    <w:uiPriority w:val="99"/>
    <w:semiHidden/>
    <w:unhideWhenUsed/>
    <w:rsid w:val="00395612"/>
    <w:rPr>
      <w:rFonts w:ascii="Tahoma" w:hAnsi="Tahoma" w:cs="Tahoma"/>
      <w:sz w:val="16"/>
      <w:szCs w:val="16"/>
    </w:rPr>
  </w:style>
  <w:style w:type="character" w:customStyle="1" w:styleId="TextedebullesCar">
    <w:name w:val="Texte de bulles Car"/>
    <w:basedOn w:val="Policepardfaut"/>
    <w:link w:val="Textedebulles"/>
    <w:uiPriority w:val="99"/>
    <w:semiHidden/>
    <w:rsid w:val="00395612"/>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0094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chargement-de-tandems-par-les-voyageurs-dans-les-trains-grandes-lignes-des-2022"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bv-fsa.ch/fr/newsletter/lapplication-intros-franchit-un-cap-important" TargetMode="External"/><Relationship Id="rId12" Type="http://schemas.openxmlformats.org/officeDocument/2006/relationships/image" Target="media/image4.jpeg"/><Relationship Id="rId17" Type="http://schemas.openxmlformats.org/officeDocument/2006/relationships/hyperlink" Target="https://sbv-fsa.ch/fr/newsletter/projet-musikalischer-gehor-gang-der-bilder-transcription-doeuvres-dart-en-musiqu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sbv-fsa.ch/fr/newsletter/confirm/remove/9231/newsletter_fsa_fr/1648610401/4FR2ysLCaTrkX95Xh_tWs5gbNIn1gm7JdYpJ-Q-PiVw"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droit-la-mobilite-autonome-reconnu-aux-personnes-en-situation-de-handicap" TargetMode="External"/><Relationship Id="rId5" Type="http://schemas.openxmlformats.org/officeDocument/2006/relationships/hyperlink" Target="www.sbv-fsa.ch" TargetMode="External"/><Relationship Id="rId15" Type="http://schemas.openxmlformats.org/officeDocument/2006/relationships/hyperlink" Target="https://sbv-fsa.ch/fr/newsletter/lecole-de-la-pomme-fete-ses-10-ans-dexistence-avec-visite-guidee-de-la-ville-de-soleure"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sbv-fsa.ch/fr/newsletter/participation-libre-choix-et-inclusion-maintenant-action-reveil-du-9-mars-et-petition-au"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5652</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2022-03-30T06:58:00Z</dcterms:created>
  <dcterms:modified xsi:type="dcterms:W3CDTF">2022-03-30T06:58:00Z</dcterms:modified>
</cp:coreProperties>
</file>