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2"/>
      </w:tblGrid>
      <w:tr w:rsidR="00BD7D6C" w:rsidTr="00BD7D6C">
        <w:trPr>
          <w:tblCellSpacing w:w="0" w:type="dxa"/>
        </w:trPr>
        <w:tc>
          <w:tcPr>
            <w:tcW w:w="0" w:type="auto"/>
            <w:vAlign w:val="center"/>
            <w:hideMark/>
          </w:tcPr>
          <w:tbl>
            <w:tblPr>
              <w:tblW w:w="9000" w:type="dxa"/>
              <w:jc w:val="center"/>
              <w:tblCellSpacing w:w="0" w:type="dxa"/>
              <w:tblCellMar>
                <w:left w:w="0" w:type="dxa"/>
                <w:right w:w="0" w:type="dxa"/>
              </w:tblCellMar>
              <w:tblLook w:val="04A0"/>
            </w:tblPr>
            <w:tblGrid>
              <w:gridCol w:w="9072"/>
            </w:tblGrid>
            <w:tr w:rsidR="00BD7D6C">
              <w:trPr>
                <w:tblCellSpacing w:w="0" w:type="dxa"/>
                <w:jc w:val="center"/>
              </w:trPr>
              <w:tc>
                <w:tcPr>
                  <w:tcW w:w="5000" w:type="pct"/>
                  <w:vAlign w:val="center"/>
                </w:tcPr>
                <w:tbl>
                  <w:tblPr>
                    <w:tblW w:w="5000" w:type="pct"/>
                    <w:jc w:val="center"/>
                    <w:tblCellSpacing w:w="0" w:type="dxa"/>
                    <w:tblCellMar>
                      <w:left w:w="0" w:type="dxa"/>
                      <w:bottom w:w="75" w:type="dxa"/>
                      <w:right w:w="0" w:type="dxa"/>
                    </w:tblCellMar>
                    <w:tblLook w:val="04A0"/>
                  </w:tblPr>
                  <w:tblGrid>
                    <w:gridCol w:w="9072"/>
                  </w:tblGrid>
                  <w:tr w:rsidR="00BD7D6C">
                    <w:trPr>
                      <w:tblCellSpacing w:w="0" w:type="dxa"/>
                      <w:jc w:val="center"/>
                    </w:trPr>
                    <w:tc>
                      <w:tcPr>
                        <w:tcW w:w="5000" w:type="pct"/>
                        <w:vAlign w:val="center"/>
                        <w:hideMark/>
                      </w:tcPr>
                      <w:p w:rsidR="00BD7D6C" w:rsidRDefault="00BD7D6C">
                        <w:pPr>
                          <w:jc w:val="center"/>
                          <w:rPr>
                            <w:rFonts w:eastAsia="Times New Roman"/>
                          </w:rPr>
                        </w:pPr>
                        <w:r>
                          <w:rPr>
                            <w:rFonts w:eastAsia="Times New Roman"/>
                          </w:rPr>
                          <w:fldChar w:fldCharType="begin"/>
                        </w:r>
                        <w:r>
                          <w:rPr>
                            <w:rFonts w:eastAsia="Times New Roman"/>
                          </w:rPr>
                          <w:instrText xml:space="preserve"> HYPERLINK "https://www.sbv-fsa.ch/fr/newsletter/bonne-annee" </w:instrText>
                        </w:r>
                        <w:r>
                          <w:rPr>
                            <w:rFonts w:eastAsia="Times New Roman"/>
                          </w:rPr>
                          <w:fldChar w:fldCharType="separate"/>
                        </w:r>
                        <w:r>
                          <w:rPr>
                            <w:rStyle w:val="Lienhypertexte"/>
                            <w:rFonts w:eastAsia="Times New Roman"/>
                            <w:color w:val="000000"/>
                          </w:rPr>
                          <w:t xml:space="preserve">Consultez </w:t>
                        </w:r>
                        <w:proofErr w:type="gramStart"/>
                        <w:r>
                          <w:rPr>
                            <w:rStyle w:val="Lienhypertexte"/>
                            <w:rFonts w:eastAsia="Times New Roman"/>
                            <w:color w:val="000000"/>
                          </w:rPr>
                          <w:t>le</w:t>
                        </w:r>
                        <w:proofErr w:type="gramEnd"/>
                        <w:r>
                          <w:rPr>
                            <w:rStyle w:val="Lienhypertexte"/>
                            <w:rFonts w:eastAsia="Times New Roman"/>
                            <w:color w:val="000000"/>
                          </w:rPr>
                          <w:t xml:space="preserve"> newsletter dans votre navigateur</w:t>
                        </w:r>
                        <w:r>
                          <w:rPr>
                            <w:rFonts w:eastAsia="Times New Roman"/>
                          </w:rPr>
                          <w:fldChar w:fldCharType="end"/>
                        </w:r>
                      </w:p>
                    </w:tc>
                  </w:tr>
                  <w:tr w:rsidR="00BD7D6C">
                    <w:trPr>
                      <w:tblCellSpacing w:w="0" w:type="dxa"/>
                      <w:jc w:val="center"/>
                    </w:trPr>
                    <w:tc>
                      <w:tcPr>
                        <w:tcW w:w="0" w:type="auto"/>
                        <w:shd w:val="clear" w:color="auto" w:fill="FFFFFF"/>
                        <w:tcMar>
                          <w:top w:w="150" w:type="dxa"/>
                          <w:left w:w="225" w:type="dxa"/>
                          <w:bottom w:w="150" w:type="dxa"/>
                          <w:right w:w="225" w:type="dxa"/>
                        </w:tcMar>
                        <w:vAlign w:val="center"/>
                      </w:tcPr>
                      <w:tbl>
                        <w:tblPr>
                          <w:tblpPr w:leftFromText="36" w:rightFromText="36" w:vertAnchor="text"/>
                          <w:tblW w:w="5250" w:type="dxa"/>
                          <w:tblCellSpacing w:w="0" w:type="dxa"/>
                          <w:tblCellMar>
                            <w:left w:w="0" w:type="dxa"/>
                            <w:right w:w="0" w:type="dxa"/>
                          </w:tblCellMar>
                          <w:tblLook w:val="04A0"/>
                        </w:tblPr>
                        <w:tblGrid>
                          <w:gridCol w:w="8622"/>
                        </w:tblGrid>
                        <w:tr w:rsidR="00BD7D6C">
                          <w:trPr>
                            <w:tblCellSpacing w:w="0" w:type="dxa"/>
                          </w:trPr>
                          <w:tc>
                            <w:tcPr>
                              <w:tcW w:w="5000" w:type="pct"/>
                              <w:vAlign w:val="center"/>
                              <w:hideMark/>
                            </w:tcPr>
                            <w:p w:rsidR="00BD7D6C" w:rsidRDefault="00BD7D6C">
                              <w:pPr>
                                <w:rPr>
                                  <w:rFonts w:eastAsia="Times New Roman"/>
                                </w:rPr>
                              </w:pPr>
                              <w:r>
                                <w:rPr>
                                  <w:rFonts w:eastAsia="Times New Roman"/>
                                  <w:noProof/>
                                  <w:color w:val="0000FF"/>
                                </w:rPr>
                                <w:drawing>
                                  <wp:inline distT="0" distB="0" distL="0" distR="0">
                                    <wp:extent cx="5714365" cy="2807970"/>
                                    <wp:effectExtent l="19050" t="0" r="635" b="0"/>
                                    <wp:docPr id="1" name="Image 1" descr="Logo SBV-FS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BV-FSA"/>
                                            <pic:cNvPicPr>
                                              <a:picLocks noChangeAspect="1" noChangeArrowheads="1"/>
                                            </pic:cNvPicPr>
                                          </pic:nvPicPr>
                                          <pic:blipFill>
                                            <a:blip r:embed="rId5"/>
                                            <a:srcRect/>
                                            <a:stretch>
                                              <a:fillRect/>
                                            </a:stretch>
                                          </pic:blipFill>
                                          <pic:spPr bwMode="auto">
                                            <a:xfrm>
                                              <a:off x="0" y="0"/>
                                              <a:ext cx="5714365" cy="2807970"/>
                                            </a:xfrm>
                                            <a:prstGeom prst="rect">
                                              <a:avLst/>
                                            </a:prstGeom>
                                            <a:noFill/>
                                            <a:ln w="9525">
                                              <a:noFill/>
                                              <a:miter lim="800000"/>
                                              <a:headEnd/>
                                              <a:tailEnd/>
                                            </a:ln>
                                          </pic:spPr>
                                        </pic:pic>
                                      </a:graphicData>
                                    </a:graphic>
                                  </wp:inline>
                                </w:drawing>
                              </w:r>
                            </w:p>
                          </w:tc>
                        </w:tr>
                      </w:tbl>
                      <w:p w:rsidR="00BD7D6C" w:rsidRDefault="00BD7D6C">
                        <w:pPr>
                          <w:rPr>
                            <w:rFonts w:eastAsia="Times New Roman"/>
                            <w:vanish/>
                          </w:rPr>
                        </w:pPr>
                      </w:p>
                      <w:tbl>
                        <w:tblPr>
                          <w:tblpPr w:leftFromText="36" w:rightFromText="36" w:vertAnchor="text"/>
                          <w:tblW w:w="15" w:type="dxa"/>
                          <w:tblCellSpacing w:w="0" w:type="dxa"/>
                          <w:tblCellMar>
                            <w:left w:w="0" w:type="dxa"/>
                            <w:right w:w="0" w:type="dxa"/>
                          </w:tblCellMar>
                          <w:tblLook w:val="04A0"/>
                        </w:tblPr>
                        <w:tblGrid>
                          <w:gridCol w:w="60"/>
                        </w:tblGrid>
                        <w:tr w:rsidR="00BD7D6C">
                          <w:trPr>
                            <w:trHeight w:val="240"/>
                            <w:tblCellSpacing w:w="0" w:type="dxa"/>
                          </w:trPr>
                          <w:tc>
                            <w:tcPr>
                              <w:tcW w:w="5000" w:type="pct"/>
                              <w:vAlign w:val="center"/>
                              <w:hideMark/>
                            </w:tcPr>
                            <w:p w:rsidR="00BD7D6C" w:rsidRDefault="00BD7D6C">
                              <w:pPr>
                                <w:rPr>
                                  <w:rFonts w:eastAsia="Times New Roman"/>
                                </w:rPr>
                              </w:pPr>
                              <w:r>
                                <w:rPr>
                                  <w:rFonts w:eastAsia="Times New Roman"/>
                                </w:rPr>
                                <w:t> </w:t>
                              </w:r>
                            </w:p>
                          </w:tc>
                        </w:tr>
                      </w:tbl>
                      <w:p w:rsidR="00BD7D6C" w:rsidRDefault="00BD7D6C">
                        <w:pPr>
                          <w:rPr>
                            <w:rFonts w:eastAsia="Times New Roman"/>
                            <w:vanish/>
                          </w:rPr>
                        </w:pPr>
                      </w:p>
                      <w:tbl>
                        <w:tblPr>
                          <w:tblpPr w:leftFromText="36" w:rightFromText="36" w:vertAnchor="text"/>
                          <w:tblW w:w="0" w:type="auto"/>
                          <w:tblCellSpacing w:w="0" w:type="dxa"/>
                          <w:tblCellMar>
                            <w:left w:w="0" w:type="dxa"/>
                            <w:right w:w="0" w:type="dxa"/>
                          </w:tblCellMar>
                          <w:tblLook w:val="04A0"/>
                        </w:tblPr>
                        <w:tblGrid>
                          <w:gridCol w:w="2322"/>
                        </w:tblGrid>
                        <w:tr w:rsidR="00BD7D6C">
                          <w:trPr>
                            <w:tblCellSpacing w:w="0" w:type="dxa"/>
                          </w:trPr>
                          <w:tc>
                            <w:tcPr>
                              <w:tcW w:w="5000" w:type="pct"/>
                              <w:vAlign w:val="center"/>
                              <w:hideMark/>
                            </w:tcPr>
                            <w:p w:rsidR="00BD7D6C" w:rsidRDefault="00BD7D6C">
                              <w:pPr>
                                <w:pStyle w:val="Titre1"/>
                                <w:jc w:val="center"/>
                                <w:rPr>
                                  <w:rFonts w:eastAsia="Times New Roman"/>
                                  <w:color w:val="0018A8"/>
                                  <w:sz w:val="51"/>
                                  <w:szCs w:val="51"/>
                                </w:rPr>
                              </w:pPr>
                              <w:r>
                                <w:rPr>
                                  <w:rFonts w:eastAsia="Times New Roman"/>
                                  <w:color w:val="0018A8"/>
                                  <w:sz w:val="51"/>
                                  <w:szCs w:val="51"/>
                                </w:rPr>
                                <w:t>Newsletter</w:t>
                              </w:r>
                            </w:p>
                          </w:tc>
                        </w:tr>
                      </w:tbl>
                      <w:p w:rsidR="00BD7D6C" w:rsidRDefault="00BD7D6C">
                        <w:pPr>
                          <w:rPr>
                            <w:rFonts w:eastAsia="Times New Roman"/>
                            <w:sz w:val="20"/>
                            <w:szCs w:val="20"/>
                          </w:rPr>
                        </w:pPr>
                      </w:p>
                    </w:tc>
                  </w:tr>
                </w:tbl>
                <w:p w:rsidR="00BD7D6C" w:rsidRDefault="00BD7D6C">
                  <w:pPr>
                    <w:rPr>
                      <w:rFonts w:eastAsia="Times New Roman"/>
                    </w:rPr>
                  </w:pPr>
                  <w:r>
                    <w:rPr>
                      <w:rFonts w:eastAsia="Times New Roman"/>
                    </w:rPr>
                    <w:t>Chers Membres,</w:t>
                  </w:r>
                </w:p>
                <w:p w:rsidR="00BD7D6C" w:rsidRDefault="00BD7D6C">
                  <w:pPr>
                    <w:pStyle w:val="NormalWeb"/>
                  </w:pPr>
                  <w:r>
                    <w:t>Toute l’équipe de la Fédération suisse des aveugles et malvoyants vous présente ses vœux les plus chaleureux pour une belle et heureuse année 2024!</w:t>
                  </w:r>
                </w:p>
                <w:p w:rsidR="00BD7D6C" w:rsidRDefault="00BD7D6C">
                  <w:pPr>
                    <w:pStyle w:val="NormalWeb"/>
                  </w:pPr>
                  <w:r>
                    <w:t>Avec le lancement de l’initiative pour l’inclusion au printemps 2023, nous avons sans doute franchi une des étapes les plus importantes sur la voie de l’égalité des droits des personnes en situation de handicap. «À maints égards, notre société n’est toujours pas inclusive – or, les droits des personnes en situation de handicap sont des droits humains.» C’est avec ces mots que nous avons donné le coup d’envoi à la récolte de signatures. À ce jour, le comité d’initiative a réuni environ 80’500 signatures et en 2024, nous allons faire le plein d’énergie pour entamer avec vous le sprint final.</w:t>
                  </w:r>
                </w:p>
                <w:p w:rsidR="00BD7D6C" w:rsidRDefault="00BD7D6C">
                  <w:pPr>
                    <w:pStyle w:val="NormalWeb"/>
                  </w:pPr>
                  <w:r>
                    <w:t xml:space="preserve">Autre fait réjouissant de l’année 2023: notre nouvelle campagne «Accessibilité numérique – Maintenant!». Lancée en septembre, elle nous a valu de nombreuses réactions positives, et quelques jours seulement après son lancement, le Conseil fédéral a recommandé l’adoption de la motion du conseiller national Gerhard </w:t>
                  </w:r>
                  <w:proofErr w:type="spellStart"/>
                  <w:r>
                    <w:t>Andrey</w:t>
                  </w:r>
                  <w:proofErr w:type="spellEnd"/>
                  <w:r>
                    <w:t>, initiée par la FSA, demandant l’accessibilité numérique dans le secteur privé. Parmi les temps forts de cette année, on retiendra aussi les élections fédérales 2023; elles ont été un succès à bien des égards, avec un nombre record de candidates et candidats en situation de handicap, dont six membres de la FSA. Enfin, la défense des intérêts de la FSA a remporté plusieurs victoires, petites et grandes, à commencer par la prise en charge par l’AI des coûts pour le remplacement des appareils électroménagers. Notre engagement sans faille ne s’est toutefois pas limité au domaine politique. Lors de l’année écoulée, nous avons à nouveau géré et développé avec succès nos prestations en faveur de nos membres: palette élargie de conseils et prestations d’aide, groupes créatifs, nouveau programme de cours, événements culturels et activités de loisirs, centres de formation et de rencontre, publications et nouvelles applications.</w:t>
                  </w:r>
                </w:p>
                <w:p w:rsidR="00BD7D6C" w:rsidRDefault="00BD7D6C">
                  <w:pPr>
                    <w:pStyle w:val="NormalWeb"/>
                  </w:pPr>
                  <w:r>
                    <w:t xml:space="preserve">Il reste encore beaucoup à faire en matière d’égalité et d’inclusion, et les chantiers ouverts ne </w:t>
                  </w:r>
                  <w:r>
                    <w:lastRenderedPageBreak/>
                    <w:t>manquent pas. Nous pouvons vous assurer qu’en 2024, nous continuerons à nous mobiliser avec détermination pour atteindre notre objectif commun à tous, à savoir améliorer la vie des personnes aveugles et malvoyantes, et œuvrer sans relâche pour une société inclusive et accessible à tous.</w:t>
                  </w:r>
                </w:p>
                <w:p w:rsidR="00BD7D6C" w:rsidRDefault="00BD7D6C">
                  <w:pPr>
                    <w:pStyle w:val="NormalWeb"/>
                  </w:pPr>
                  <w:r>
                    <w:t>Fidèle à notre devise «Ensemble, on voit mieux», nous nous réjouissons de partager avec vous une nouvelle année de réussites et d’avancées sur la voie de l’autodétermination.</w:t>
                  </w:r>
                </w:p>
                <w:p w:rsidR="00BD7D6C" w:rsidRDefault="00BD7D6C">
                  <w:pPr>
                    <w:pStyle w:val="NormalWeb"/>
                  </w:pPr>
                  <w:r>
                    <w:t>Cordialement</w:t>
                  </w:r>
                </w:p>
                <w:p w:rsidR="00BD7D6C" w:rsidRDefault="00BD7D6C">
                  <w:pPr>
                    <w:pStyle w:val="NormalWeb"/>
                  </w:pPr>
                  <w:r>
                    <w:t>Votre équipe FSA</w:t>
                  </w:r>
                </w:p>
                <w:tbl>
                  <w:tblPr>
                    <w:tblW w:w="5000" w:type="pct"/>
                    <w:tblCellSpacing w:w="0" w:type="dxa"/>
                    <w:tblCellMar>
                      <w:top w:w="150" w:type="dxa"/>
                      <w:left w:w="0" w:type="dxa"/>
                      <w:right w:w="0" w:type="dxa"/>
                    </w:tblCellMar>
                    <w:tblLook w:val="04A0"/>
                  </w:tblPr>
                  <w:tblGrid>
                    <w:gridCol w:w="9072"/>
                  </w:tblGrid>
                  <w:tr w:rsidR="00BD7D6C">
                    <w:trPr>
                      <w:tblCellSpacing w:w="0" w:type="dxa"/>
                    </w:trPr>
                    <w:tc>
                      <w:tcPr>
                        <w:tcW w:w="0" w:type="auto"/>
                        <w:vAlign w:val="center"/>
                        <w:hideMark/>
                      </w:tcPr>
                      <w:p w:rsidR="00BD7D6C" w:rsidRDefault="00BD7D6C">
                        <w:pPr>
                          <w:rPr>
                            <w:rFonts w:eastAsia="Times New Roman"/>
                            <w:sz w:val="20"/>
                            <w:szCs w:val="20"/>
                          </w:rPr>
                        </w:pPr>
                      </w:p>
                    </w:tc>
                  </w:tr>
                </w:tbl>
                <w:p w:rsidR="00BD7D6C" w:rsidRDefault="00BD7D6C">
                  <w:pPr>
                    <w:rPr>
                      <w:rFonts w:eastAsia="Times New Roman"/>
                      <w:vanish/>
                    </w:rPr>
                  </w:pPr>
                </w:p>
                <w:tbl>
                  <w:tblPr>
                    <w:tblW w:w="5000" w:type="pct"/>
                    <w:tblCellSpacing w:w="0" w:type="dxa"/>
                    <w:shd w:val="clear" w:color="auto" w:fill="0018A8"/>
                    <w:tblCellMar>
                      <w:top w:w="150" w:type="dxa"/>
                      <w:left w:w="225" w:type="dxa"/>
                      <w:bottom w:w="150" w:type="dxa"/>
                      <w:right w:w="225" w:type="dxa"/>
                    </w:tblCellMar>
                    <w:tblLook w:val="04A0"/>
                  </w:tblPr>
                  <w:tblGrid>
                    <w:gridCol w:w="9072"/>
                  </w:tblGrid>
                  <w:tr w:rsidR="00BD7D6C">
                    <w:trPr>
                      <w:tblCellSpacing w:w="0" w:type="dxa"/>
                    </w:trPr>
                    <w:tc>
                      <w:tcPr>
                        <w:tcW w:w="0" w:type="auto"/>
                        <w:shd w:val="clear" w:color="auto" w:fill="0018A8"/>
                        <w:vAlign w:val="center"/>
                        <w:hideMark/>
                      </w:tcPr>
                      <w:p w:rsidR="00BD7D6C" w:rsidRDefault="00BD7D6C">
                        <w:pPr>
                          <w:pStyle w:val="NormalWeb"/>
                          <w:rPr>
                            <w:color w:val="FFFFFF"/>
                          </w:rPr>
                        </w:pPr>
                        <w:r>
                          <w:rPr>
                            <w:color w:val="FFFFFF"/>
                          </w:rPr>
                          <w:t xml:space="preserve">La FSA est titulaire du label de qualité </w:t>
                        </w:r>
                        <w:proofErr w:type="spellStart"/>
                        <w:r>
                          <w:rPr>
                            <w:color w:val="FFFFFF"/>
                          </w:rPr>
                          <w:t>Zewo</w:t>
                        </w:r>
                        <w:proofErr w:type="spellEnd"/>
                        <w:r>
                          <w:rPr>
                            <w:color w:val="FFFFFF"/>
                          </w:rPr>
                          <w:t xml:space="preserve"> </w:t>
                        </w:r>
                        <w:r>
                          <w:rPr>
                            <w:noProof/>
                            <w:color w:val="FFFFFF"/>
                          </w:rPr>
                          <w:drawing>
                            <wp:inline distT="0" distB="0" distL="0" distR="0">
                              <wp:extent cx="478155" cy="504190"/>
                              <wp:effectExtent l="19050" t="0" r="0" b="0"/>
                              <wp:docPr id="2" name="Image 2" descr="Zew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wo Logo"/>
                                      <pic:cNvPicPr>
                                        <a:picLocks noChangeAspect="1" noChangeArrowheads="1"/>
                                      </pic:cNvPicPr>
                                    </pic:nvPicPr>
                                    <pic:blipFill>
                                      <a:blip r:embed="rId6"/>
                                      <a:srcRect/>
                                      <a:stretch>
                                        <a:fillRect/>
                                      </a:stretch>
                                    </pic:blipFill>
                                    <pic:spPr bwMode="auto">
                                      <a:xfrm>
                                        <a:off x="0" y="0"/>
                                        <a:ext cx="478155" cy="504190"/>
                                      </a:xfrm>
                                      <a:prstGeom prst="rect">
                                        <a:avLst/>
                                      </a:prstGeom>
                                      <a:noFill/>
                                      <a:ln w="9525">
                                        <a:noFill/>
                                        <a:miter lim="800000"/>
                                        <a:headEnd/>
                                        <a:tailEnd/>
                                      </a:ln>
                                    </pic:spPr>
                                  </pic:pic>
                                </a:graphicData>
                              </a:graphic>
                            </wp:inline>
                          </w:drawing>
                        </w:r>
                      </w:p>
                      <w:p w:rsidR="00BD7D6C" w:rsidRDefault="00BD7D6C">
                        <w:pPr>
                          <w:pStyle w:val="NormalWeb"/>
                          <w:rPr>
                            <w:color w:val="FFFFFF"/>
                            <w:sz w:val="19"/>
                            <w:szCs w:val="19"/>
                          </w:rPr>
                        </w:pPr>
                        <w:r>
                          <w:rPr>
                            <w:color w:val="FFFFFF"/>
                            <w:sz w:val="19"/>
                            <w:szCs w:val="19"/>
                          </w:rPr>
                          <w:t xml:space="preserve">Vous recevez cet e-mail car vous êtes inscrit à la newsletter de la FSA. Si vous ne le souhaitez plus, cliquez sur </w:t>
                        </w:r>
                        <w:hyperlink r:id="rId7" w:history="1">
                          <w:r>
                            <w:rPr>
                              <w:rStyle w:val="Lienhypertexte"/>
                              <w:color w:val="FFFFFF"/>
                              <w:sz w:val="19"/>
                              <w:szCs w:val="19"/>
                            </w:rPr>
                            <w:t>désabonner</w:t>
                          </w:r>
                        </w:hyperlink>
                        <w:r>
                          <w:rPr>
                            <w:color w:val="FFFFFF"/>
                            <w:sz w:val="19"/>
                            <w:szCs w:val="19"/>
                          </w:rPr>
                          <w:t>.</w:t>
                        </w:r>
                      </w:p>
                    </w:tc>
                  </w:tr>
                </w:tbl>
                <w:p w:rsidR="00BD7D6C" w:rsidRDefault="00BD7D6C">
                  <w:pPr>
                    <w:rPr>
                      <w:rFonts w:eastAsia="Times New Roman"/>
                      <w:sz w:val="20"/>
                      <w:szCs w:val="20"/>
                    </w:rPr>
                  </w:pPr>
                </w:p>
              </w:tc>
            </w:tr>
          </w:tbl>
          <w:p w:rsidR="00BD7D6C" w:rsidRDefault="00BD7D6C">
            <w:pPr>
              <w:jc w:val="center"/>
              <w:rPr>
                <w:rFonts w:eastAsia="Times New Roman"/>
                <w:sz w:val="20"/>
                <w:szCs w:val="20"/>
              </w:rPr>
            </w:pPr>
          </w:p>
        </w:tc>
      </w:tr>
    </w:tbl>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4"/>
  <w:proofState w:spelling="clean" w:grammar="clean"/>
  <w:defaultTabStop w:val="708"/>
  <w:hyphenationZone w:val="425"/>
  <w:characterSpacingControl w:val="doNotCompress"/>
  <w:compat/>
  <w:rsids>
    <w:rsidRoot w:val="00BD7D6C"/>
    <w:rsid w:val="0017744C"/>
    <w:rsid w:val="00687751"/>
    <w:rsid w:val="00BD7D6C"/>
    <w:rsid w:val="00BF0763"/>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6C"/>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BD7D6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7D6C"/>
    <w:rPr>
      <w:rFonts w:ascii="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BD7D6C"/>
    <w:rPr>
      <w:color w:val="0000FF"/>
      <w:u w:val="single"/>
    </w:rPr>
  </w:style>
  <w:style w:type="paragraph" w:styleId="NormalWeb">
    <w:name w:val="Normal (Web)"/>
    <w:basedOn w:val="Normal"/>
    <w:uiPriority w:val="99"/>
    <w:unhideWhenUsed/>
    <w:rsid w:val="00BD7D6C"/>
    <w:pPr>
      <w:spacing w:before="100" w:beforeAutospacing="1" w:after="100" w:afterAutospacing="1"/>
    </w:pPr>
  </w:style>
  <w:style w:type="paragraph" w:styleId="Textedebulles">
    <w:name w:val="Balloon Text"/>
    <w:basedOn w:val="Normal"/>
    <w:link w:val="TextedebullesCar"/>
    <w:uiPriority w:val="99"/>
    <w:semiHidden/>
    <w:unhideWhenUsed/>
    <w:rsid w:val="00BD7D6C"/>
    <w:rPr>
      <w:rFonts w:ascii="Tahoma" w:hAnsi="Tahoma" w:cs="Tahoma"/>
      <w:sz w:val="16"/>
      <w:szCs w:val="16"/>
    </w:rPr>
  </w:style>
  <w:style w:type="character" w:customStyle="1" w:styleId="TextedebullesCar">
    <w:name w:val="Texte de bulles Car"/>
    <w:basedOn w:val="Policepardfaut"/>
    <w:link w:val="Textedebulles"/>
    <w:uiPriority w:val="99"/>
    <w:semiHidden/>
    <w:rsid w:val="00BD7D6C"/>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2581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bv-fsa.ch/fr/newsletter/confirm/remove/9231/newsletter_fsa_fr/1704080401/fZhJKGIkH21QbcdfQl8_D65Frkg3ik7VGm-96jp1Wx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www.sbv-fsa.ch"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2596</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2024-01-02T09:15:00Z</dcterms:created>
  <dcterms:modified xsi:type="dcterms:W3CDTF">2024-01-02T09:16:00Z</dcterms:modified>
</cp:coreProperties>
</file>